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14AA5" w:rsidRPr="000A2C27" w:rsidRDefault="00190267" w:rsidP="00CB4717">
      <w:pPr>
        <w:jc w:val="center"/>
        <w:rPr>
          <w:b/>
          <w:bCs/>
        </w:rPr>
      </w:pPr>
      <w:r w:rsidRPr="000A2C27">
        <w:rPr>
          <w:b/>
          <w:bCs/>
        </w:rPr>
        <w:t>Éditions,</w:t>
      </w:r>
      <w:r w:rsidR="00CB4717">
        <w:rPr>
          <w:b/>
          <w:bCs/>
        </w:rPr>
        <w:t xml:space="preserve"> outils de travail :</w:t>
      </w:r>
      <w:r w:rsidRPr="000A2C27">
        <w:rPr>
          <w:b/>
          <w:bCs/>
        </w:rPr>
        <w:t xml:space="preserve"> modes d’emploi</w:t>
      </w:r>
      <w:r w:rsidR="000A2C27" w:rsidRPr="000A2C27">
        <w:rPr>
          <w:b/>
          <w:bCs/>
        </w:rPr>
        <w:t xml:space="preserve"> (5 octobre 2024, 9h)</w:t>
      </w:r>
    </w:p>
    <w:p w:rsidR="00CB4717" w:rsidRPr="000A2C27" w:rsidRDefault="00CB4717" w:rsidP="00CB4717">
      <w:pPr>
        <w:pStyle w:val="Paragraphedeliste"/>
        <w:ind w:left="0"/>
        <w:rPr>
          <w:b/>
          <w:bCs/>
        </w:rPr>
      </w:pPr>
      <w:r w:rsidRPr="000A2C27">
        <w:rPr>
          <w:b/>
          <w:bCs/>
        </w:rPr>
        <w:t xml:space="preserve">Sites </w:t>
      </w:r>
    </w:p>
    <w:p w:rsidR="00CB4717" w:rsidRDefault="00CB4717" w:rsidP="00CB4717">
      <w:pPr>
        <w:pStyle w:val="Paragraphedeliste"/>
        <w:numPr>
          <w:ilvl w:val="1"/>
          <w:numId w:val="4"/>
        </w:numPr>
      </w:pPr>
      <w:r>
        <w:t xml:space="preserve">« Équipe Montesquieu » : </w:t>
      </w:r>
      <w:hyperlink r:id="rId7" w:history="1">
        <w:r w:rsidRPr="00070893">
          <w:rPr>
            <w:rStyle w:val="Lienhypertexte"/>
          </w:rPr>
          <w:t>http://montesquieu.ens-lyon.fr</w:t>
        </w:r>
      </w:hyperlink>
      <w:r>
        <w:t xml:space="preserve">  </w:t>
      </w:r>
      <w:r w:rsidR="00E51083">
        <w:t>[depuis les années 90]</w:t>
      </w:r>
    </w:p>
    <w:p w:rsidR="00CB4717" w:rsidRPr="000A2C27" w:rsidRDefault="00CB4717" w:rsidP="00CB4717">
      <w:pPr>
        <w:pStyle w:val="Paragraphedeliste"/>
        <w:numPr>
          <w:ilvl w:val="1"/>
          <w:numId w:val="4"/>
        </w:numPr>
        <w:rPr>
          <w:i/>
          <w:iCs/>
        </w:rPr>
      </w:pPr>
      <w:r>
        <w:rPr>
          <w:i/>
          <w:iCs/>
        </w:rPr>
        <w:t xml:space="preserve">Lire Montesquieu. </w:t>
      </w:r>
      <w:r w:rsidRPr="000A2C27">
        <w:rPr>
          <w:i/>
          <w:iCs/>
        </w:rPr>
        <w:t>Lire, éditer, interpréter Montesquieu </w:t>
      </w:r>
      <w:r>
        <w:t xml:space="preserve">: </w:t>
      </w:r>
      <w:hyperlink r:id="rId8" w:history="1">
        <w:r w:rsidRPr="00070893">
          <w:rPr>
            <w:rStyle w:val="Lienhypertexte"/>
          </w:rPr>
          <w:t>http://lire-montesquieu.ens-lyon.fr/html/montesquieu/accueil.html</w:t>
        </w:r>
      </w:hyperlink>
      <w:r>
        <w:t xml:space="preserve"> </w:t>
      </w:r>
      <w:r w:rsidR="00E51083">
        <w:t>[2010]</w:t>
      </w:r>
    </w:p>
    <w:p w:rsidR="00CB4717" w:rsidRDefault="00CB4717" w:rsidP="00CB4717">
      <w:pPr>
        <w:pStyle w:val="Paragraphedeliste"/>
        <w:numPr>
          <w:ilvl w:val="1"/>
          <w:numId w:val="4"/>
        </w:numPr>
      </w:pPr>
      <w:r>
        <w:rPr>
          <w:i/>
          <w:iCs/>
        </w:rPr>
        <w:t>Dictionnaire Montesquieu </w:t>
      </w:r>
      <w:r>
        <w:t xml:space="preserve">: </w:t>
      </w:r>
      <w:hyperlink r:id="rId9" w:history="1">
        <w:r w:rsidRPr="00070893">
          <w:rPr>
            <w:rStyle w:val="Lienhypertexte"/>
          </w:rPr>
          <w:t>https://dictionnaire-montesquieu.ens-lyon.fr/fr/accueil/</w:t>
        </w:r>
      </w:hyperlink>
      <w:r>
        <w:t xml:space="preserve"> </w:t>
      </w:r>
      <w:r w:rsidR="00E51083">
        <w:t>[2008 ; 2013-]</w:t>
      </w:r>
    </w:p>
    <w:p w:rsidR="00E51083" w:rsidRDefault="00E51083" w:rsidP="00CB4717">
      <w:pPr>
        <w:pStyle w:val="Paragraphedeliste"/>
        <w:numPr>
          <w:ilvl w:val="1"/>
          <w:numId w:val="4"/>
        </w:numPr>
      </w:pPr>
      <w:r>
        <w:t xml:space="preserve">Montesquieu. Bibliothèque &amp; éditions  (MBE) [2016-] : </w:t>
      </w:r>
      <w:hyperlink r:id="rId10" w:history="1">
        <w:r w:rsidRPr="00FD1F3F">
          <w:rPr>
            <w:rStyle w:val="Lienhypertexte"/>
          </w:rPr>
          <w:t>https://montesquieu.huma-num.fr/accueil</w:t>
        </w:r>
      </w:hyperlink>
      <w:r>
        <w:t xml:space="preserve"> (voir les moteurs de recherche, l’interface </w:t>
      </w:r>
      <w:r w:rsidR="00197622">
        <w:t xml:space="preserve">mobile </w:t>
      </w:r>
      <w:r>
        <w:t>de visualisation)</w:t>
      </w:r>
    </w:p>
    <w:p w:rsidR="00C26BE3" w:rsidRDefault="00C26BE3" w:rsidP="000A2C27">
      <w:pPr>
        <w:pStyle w:val="Paragraphedeliste"/>
        <w:ind w:left="0"/>
      </w:pPr>
    </w:p>
    <w:p w:rsidR="00C26BE3" w:rsidRPr="00C26BE3" w:rsidRDefault="00C26BE3" w:rsidP="000A2C27">
      <w:pPr>
        <w:pStyle w:val="Paragraphedeliste"/>
        <w:numPr>
          <w:ilvl w:val="0"/>
          <w:numId w:val="2"/>
        </w:numPr>
        <w:ind w:left="0" w:firstLine="0"/>
        <w:rPr>
          <w:rFonts w:ascii="Junicode" w:hAnsi="Junicode"/>
          <w:i/>
          <w:iCs/>
        </w:rPr>
      </w:pPr>
      <w:r w:rsidRPr="000A2C27">
        <w:rPr>
          <w:rFonts w:ascii="Junicode" w:hAnsi="Junicode"/>
          <w:b/>
          <w:bCs/>
          <w:i/>
          <w:iCs/>
        </w:rPr>
        <w:t>Pensées</w:t>
      </w:r>
      <w:r w:rsidRPr="000A2C27">
        <w:rPr>
          <w:rFonts w:ascii="Junicode" w:hAnsi="Junicode"/>
          <w:b/>
          <w:bCs/>
        </w:rPr>
        <w:t xml:space="preserve"> </w:t>
      </w:r>
      <w:r>
        <w:rPr>
          <w:rFonts w:ascii="Junicode" w:hAnsi="Junicode"/>
        </w:rPr>
        <w:t>(</w:t>
      </w:r>
      <w:r w:rsidR="00197622" w:rsidRPr="00197622">
        <w:rPr>
          <w:rFonts w:ascii="Junicode" w:hAnsi="Junicode"/>
          <w:i/>
          <w:iCs/>
        </w:rPr>
        <w:t>Œuvres complètes</w:t>
      </w:r>
      <w:r w:rsidR="00197622">
        <w:rPr>
          <w:rFonts w:ascii="Junicode" w:hAnsi="Junicode"/>
        </w:rPr>
        <w:t xml:space="preserve">, t. XIV-XV, </w:t>
      </w:r>
      <w:r>
        <w:rPr>
          <w:rFonts w:ascii="Junicode" w:hAnsi="Junicode"/>
        </w:rPr>
        <w:t>2024)</w:t>
      </w:r>
    </w:p>
    <w:p w:rsidR="00E51083" w:rsidRPr="00DC0673" w:rsidRDefault="00E51083" w:rsidP="00E51083">
      <w:pPr>
        <w:pStyle w:val="Paragraphedeliste"/>
        <w:numPr>
          <w:ilvl w:val="1"/>
          <w:numId w:val="2"/>
        </w:numPr>
        <w:ind w:left="0" w:firstLine="0"/>
        <w:rPr>
          <w:rFonts w:ascii="Junicode" w:hAnsi="Junicode"/>
        </w:rPr>
      </w:pPr>
      <w:r>
        <w:rPr>
          <w:rFonts w:ascii="Junicode" w:hAnsi="Junicode"/>
        </w:rPr>
        <w:t>N</w:t>
      </w:r>
      <w:r w:rsidRPr="00DC0673">
        <w:rPr>
          <w:rFonts w:ascii="Junicode" w:eastAsia="MS Mincho" w:hAnsi="Junicode" w:cs="Times New Roman"/>
          <w:szCs w:val="28"/>
          <w:vertAlign w:val="superscript"/>
        </w:rPr>
        <w:t xml:space="preserve">o </w:t>
      </w:r>
      <w:r>
        <w:rPr>
          <w:rFonts w:ascii="Junicode" w:eastAsia="MS Mincho" w:hAnsi="Junicode" w:cs="Times New Roman"/>
          <w:szCs w:val="28"/>
        </w:rPr>
        <w:t>102 : « </w:t>
      </w:r>
      <w:r w:rsidRPr="00DC0673">
        <w:rPr>
          <w:rFonts w:ascii="Junicode" w:eastAsia="MS Mincho" w:hAnsi="Junicode" w:cs="Times New Roman"/>
          <w:szCs w:val="28"/>
        </w:rPr>
        <w:t xml:space="preserve">Je voudrais aussi qu'on travaillât à un catalogue des arts, des </w:t>
      </w:r>
      <w:r>
        <w:rPr>
          <w:rFonts w:ascii="Junicode" w:eastAsia="MS Mincho" w:hAnsi="Junicode" w:cs="Times New Roman"/>
          <w:szCs w:val="28"/>
        </w:rPr>
        <w:t>secrets [1899-202</w:t>
      </w:r>
      <w:r w:rsidR="00365C7D">
        <w:rPr>
          <w:rFonts w:ascii="Junicode" w:eastAsia="MS Mincho" w:hAnsi="Junicode" w:cs="Times New Roman"/>
          <w:szCs w:val="28"/>
        </w:rPr>
        <w:t>3</w:t>
      </w:r>
      <w:r>
        <w:rPr>
          <w:rFonts w:ascii="Junicode" w:eastAsia="MS Mincho" w:hAnsi="Junicode" w:cs="Times New Roman"/>
          <w:szCs w:val="28"/>
        </w:rPr>
        <w:t xml:space="preserve"> : des </w:t>
      </w:r>
      <w:r w:rsidRPr="00DC0673">
        <w:rPr>
          <w:rFonts w:ascii="Junicode" w:eastAsia="MS Mincho" w:hAnsi="Junicode" w:cs="Times New Roman"/>
          <w:szCs w:val="28"/>
        </w:rPr>
        <w:t>sciences</w:t>
      </w:r>
      <w:r>
        <w:rPr>
          <w:rFonts w:ascii="Junicode" w:eastAsia="MS Mincho" w:hAnsi="Junicode" w:cs="Times New Roman"/>
          <w:szCs w:val="28"/>
        </w:rPr>
        <w:t>]</w:t>
      </w:r>
      <w:r w:rsidRPr="00DC0673">
        <w:rPr>
          <w:rFonts w:ascii="Junicode" w:eastAsia="MS Mincho" w:hAnsi="Junicode" w:cs="Times New Roman"/>
          <w:szCs w:val="28"/>
        </w:rPr>
        <w:t xml:space="preserve"> et des inventions qui se sont perdu</w:t>
      </w:r>
      <w:r w:rsidR="00365C7D">
        <w:rPr>
          <w:rFonts w:ascii="Junicode" w:eastAsia="MS Mincho" w:hAnsi="Junicode" w:cs="Times New Roman"/>
          <w:szCs w:val="28"/>
        </w:rPr>
        <w:t>e</w:t>
      </w:r>
      <w:r w:rsidRPr="00DC0673">
        <w:rPr>
          <w:rFonts w:ascii="Junicode" w:eastAsia="MS Mincho" w:hAnsi="Junicode" w:cs="Times New Roman"/>
          <w:szCs w:val="28"/>
        </w:rPr>
        <w:t>s</w:t>
      </w:r>
      <w:r>
        <w:rPr>
          <w:rFonts w:ascii="Junicode" w:eastAsia="MS Mincho" w:hAnsi="Junicode" w:cs="Times New Roman"/>
          <w:szCs w:val="28"/>
        </w:rPr>
        <w:t> »</w:t>
      </w:r>
    </w:p>
    <w:p w:rsidR="00C26BE3" w:rsidRDefault="00C26BE3" w:rsidP="000A2C27">
      <w:pPr>
        <w:pStyle w:val="Paragraphedeliste"/>
        <w:numPr>
          <w:ilvl w:val="1"/>
          <w:numId w:val="2"/>
        </w:numPr>
        <w:ind w:left="0" w:firstLine="0"/>
        <w:rPr>
          <w:rFonts w:ascii="Junicode" w:hAnsi="Junicode"/>
        </w:rPr>
      </w:pPr>
      <w:r>
        <w:rPr>
          <w:rFonts w:ascii="Junicode" w:hAnsi="Junicode"/>
        </w:rPr>
        <w:t xml:space="preserve"> N</w:t>
      </w:r>
      <w:r w:rsidRPr="00C26BE3">
        <w:rPr>
          <w:rFonts w:ascii="Junicode" w:eastAsia="MS Mincho" w:hAnsi="Junicode" w:cs="Times New Roman"/>
          <w:szCs w:val="28"/>
          <w:vertAlign w:val="superscript"/>
        </w:rPr>
        <w:t xml:space="preserve">o </w:t>
      </w:r>
      <w:r>
        <w:rPr>
          <w:rFonts w:ascii="Junicode" w:eastAsia="MS Mincho" w:hAnsi="Junicode" w:cs="Times New Roman"/>
          <w:szCs w:val="28"/>
        </w:rPr>
        <w:t xml:space="preserve"> 1302 : </w:t>
      </w:r>
      <w:r>
        <w:rPr>
          <w:rFonts w:ascii="Junicode" w:hAnsi="Junicode"/>
        </w:rPr>
        <w:t>A</w:t>
      </w:r>
      <w:r w:rsidR="00E61AAD">
        <w:rPr>
          <w:rFonts w:ascii="Junicode" w:hAnsi="Junicode"/>
        </w:rPr>
        <w:t>près le</w:t>
      </w:r>
      <w:r>
        <w:rPr>
          <w:rFonts w:ascii="Junicode" w:hAnsi="Junicode"/>
        </w:rPr>
        <w:t xml:space="preserve"> siège de Vienne par les Turcs</w:t>
      </w:r>
      <w:r w:rsidR="00E61AAD">
        <w:rPr>
          <w:rFonts w:ascii="Junicode" w:hAnsi="Junicode"/>
        </w:rPr>
        <w:t xml:space="preserve"> et leur défaite</w:t>
      </w:r>
      <w:r>
        <w:rPr>
          <w:rFonts w:ascii="Junicode" w:hAnsi="Junicode"/>
        </w:rPr>
        <w:t xml:space="preserve"> (1683)</w:t>
      </w:r>
      <w:r w:rsidR="00E61AAD">
        <w:rPr>
          <w:rFonts w:ascii="Junicode" w:hAnsi="Junicode"/>
        </w:rPr>
        <w:t>,</w:t>
      </w:r>
      <w:r>
        <w:rPr>
          <w:rFonts w:ascii="Junicode" w:hAnsi="Junicode"/>
        </w:rPr>
        <w:t xml:space="preserve"> on fit « </w:t>
      </w:r>
      <w:r w:rsidRPr="006414D2">
        <w:rPr>
          <w:rFonts w:ascii="Junicode" w:hAnsi="Junicode"/>
        </w:rPr>
        <w:t xml:space="preserve">courir le bruit que </w:t>
      </w:r>
      <w:r>
        <w:rPr>
          <w:rFonts w:ascii="Junicode" w:hAnsi="Junicode"/>
        </w:rPr>
        <w:t>[les Français] avoient</w:t>
      </w:r>
      <w:r w:rsidRPr="006414D2">
        <w:rPr>
          <w:rFonts w:ascii="Junicode" w:hAnsi="Junicode"/>
        </w:rPr>
        <w:t xml:space="preserve"> attir</w:t>
      </w:r>
      <w:r>
        <w:rPr>
          <w:rFonts w:ascii="Junicode" w:hAnsi="Junicode"/>
        </w:rPr>
        <w:t>é</w:t>
      </w:r>
      <w:r w:rsidRPr="006414D2">
        <w:rPr>
          <w:rFonts w:ascii="Junicode" w:hAnsi="Junicode"/>
        </w:rPr>
        <w:t xml:space="preserve"> ce </w:t>
      </w:r>
      <w:proofErr w:type="spellStart"/>
      <w:r w:rsidRPr="006414D2">
        <w:rPr>
          <w:rFonts w:ascii="Junicode" w:hAnsi="Junicode"/>
        </w:rPr>
        <w:t>fleau</w:t>
      </w:r>
      <w:proofErr w:type="spellEnd"/>
      <w:r w:rsidRPr="006414D2">
        <w:rPr>
          <w:rFonts w:ascii="Junicode" w:hAnsi="Junicode"/>
        </w:rPr>
        <w:t xml:space="preserve"> </w:t>
      </w:r>
      <w:r>
        <w:rPr>
          <w:rFonts w:ascii="Junicode" w:hAnsi="Junicode"/>
        </w:rPr>
        <w:t>au</w:t>
      </w:r>
      <w:r w:rsidRPr="006414D2">
        <w:rPr>
          <w:rFonts w:ascii="Junicode" w:hAnsi="Junicode"/>
        </w:rPr>
        <w:t xml:space="preserve"> non </w:t>
      </w:r>
      <w:proofErr w:type="spellStart"/>
      <w:r w:rsidRPr="006414D2">
        <w:rPr>
          <w:rFonts w:ascii="Junicode" w:hAnsi="Junicode"/>
        </w:rPr>
        <w:t>chretien</w:t>
      </w:r>
      <w:proofErr w:type="spellEnd"/>
      <w:r>
        <w:rPr>
          <w:rFonts w:ascii="Junicode" w:hAnsi="Junicode"/>
        </w:rPr>
        <w:t> »</w:t>
      </w:r>
      <w:r w:rsidR="00B70774">
        <w:rPr>
          <w:rFonts w:ascii="Junicode" w:hAnsi="Junicode"/>
        </w:rPr>
        <w:t xml:space="preserve"> </w:t>
      </w:r>
      <w:r w:rsidR="00B70774">
        <w:rPr>
          <w:rFonts w:ascii="Junicode" w:hAnsi="Junicode"/>
        </w:rPr>
        <w:t>[= au nom chrétien]</w:t>
      </w:r>
      <w:r>
        <w:rPr>
          <w:rFonts w:ascii="Junicode" w:hAnsi="Junicode"/>
        </w:rPr>
        <w:t>.</w:t>
      </w:r>
    </w:p>
    <w:p w:rsidR="005126BE" w:rsidRDefault="005126BE" w:rsidP="000A2C27">
      <w:pPr>
        <w:pStyle w:val="Paragraphedeliste"/>
        <w:numPr>
          <w:ilvl w:val="1"/>
          <w:numId w:val="2"/>
        </w:numPr>
        <w:ind w:left="0" w:firstLine="0"/>
        <w:rPr>
          <w:rFonts w:ascii="Junicode" w:hAnsi="Junicode"/>
        </w:rPr>
      </w:pPr>
      <w:r>
        <w:rPr>
          <w:rFonts w:ascii="Junicode" w:hAnsi="Junicode"/>
        </w:rPr>
        <w:t>N</w:t>
      </w:r>
      <w:r w:rsidRPr="005126BE">
        <w:rPr>
          <w:rFonts w:ascii="Junicode" w:eastAsia="MS Mincho" w:hAnsi="Junicode" w:cs="Times New Roman"/>
          <w:szCs w:val="28"/>
          <w:vertAlign w:val="superscript"/>
        </w:rPr>
        <w:t>o</w:t>
      </w:r>
      <w:r>
        <w:rPr>
          <w:rFonts w:ascii="Junicode" w:eastAsia="MS Mincho" w:hAnsi="Junicode" w:cs="Times New Roman"/>
          <w:szCs w:val="28"/>
          <w:vertAlign w:val="superscript"/>
        </w:rPr>
        <w:t xml:space="preserve"> </w:t>
      </w:r>
      <w:r>
        <w:rPr>
          <w:rFonts w:ascii="Junicode" w:hAnsi="Junicode"/>
        </w:rPr>
        <w:t>1998 : « </w:t>
      </w:r>
      <w:r w:rsidRPr="005126BE">
        <w:rPr>
          <w:rFonts w:ascii="Junicode" w:hAnsi="Junicode"/>
        </w:rPr>
        <w:t>Il peut arriver que le bien que l'on fait et les arrangements que l'on prend en respectant les lois de l'État paraisse moins considérable et se fasse moins sentir que de certains arrangements qui les choquent sous prétexte de certains besoins, de certain ordre, d'une certaine règle</w:t>
      </w:r>
      <w:r>
        <w:rPr>
          <w:rFonts w:ascii="Junicode" w:hAnsi="Junicode"/>
        </w:rPr>
        <w:t>,</w:t>
      </w:r>
      <w:r w:rsidRPr="005126BE">
        <w:rPr>
          <w:rFonts w:ascii="Junicode" w:hAnsi="Junicode"/>
        </w:rPr>
        <w:t xml:space="preserve"> parce que, dans le premier cas, ce bien n'est guère différent de celui que font </w:t>
      </w:r>
      <w:r w:rsidRPr="00B70774">
        <w:rPr>
          <w:rFonts w:ascii="Junicode" w:hAnsi="Junicode"/>
          <w:b/>
          <w:bCs/>
        </w:rPr>
        <w:t>ces rois</w:t>
      </w:r>
      <w:r w:rsidRPr="005126BE">
        <w:rPr>
          <w:rFonts w:ascii="Junicode" w:hAnsi="Junicode"/>
        </w:rPr>
        <w:t xml:space="preserve"> mêmes</w:t>
      </w:r>
      <w:r>
        <w:rPr>
          <w:rFonts w:ascii="Junicode" w:hAnsi="Junicode"/>
        </w:rPr>
        <w:t>. »</w:t>
      </w:r>
    </w:p>
    <w:p w:rsidR="000B4696" w:rsidRDefault="000B4696" w:rsidP="000A2C27">
      <w:pPr>
        <w:pStyle w:val="Paragraphedeliste"/>
        <w:ind w:left="0"/>
        <w:rPr>
          <w:rFonts w:ascii="Junicode" w:hAnsi="Junicode"/>
        </w:rPr>
      </w:pPr>
    </w:p>
    <w:p w:rsidR="000B4696" w:rsidRPr="000A2C27" w:rsidRDefault="000B4696" w:rsidP="000A2C27">
      <w:pPr>
        <w:pStyle w:val="Paragraphedeliste"/>
        <w:numPr>
          <w:ilvl w:val="0"/>
          <w:numId w:val="2"/>
        </w:numPr>
        <w:ind w:left="0" w:firstLine="0"/>
        <w:rPr>
          <w:rFonts w:ascii="Junicode" w:hAnsi="Junicode"/>
          <w:b/>
          <w:bCs/>
        </w:rPr>
      </w:pPr>
      <w:r w:rsidRPr="000A2C27">
        <w:rPr>
          <w:rStyle w:val="Accentuation"/>
          <w:rFonts w:ascii="Junicode" w:hAnsi="Junicode" w:cstheme="minorHAnsi"/>
          <w:b/>
          <w:bCs/>
        </w:rPr>
        <w:t>Lettres persanes</w:t>
      </w:r>
      <w:r w:rsidRPr="000A2C27">
        <w:rPr>
          <w:rFonts w:ascii="Junicode" w:hAnsi="Junicode"/>
          <w:b/>
          <w:bCs/>
        </w:rPr>
        <w:t xml:space="preserve"> </w:t>
      </w:r>
      <w:r w:rsidR="00584575">
        <w:rPr>
          <w:rFonts w:ascii="Junicode" w:hAnsi="Junicode"/>
          <w:b/>
          <w:bCs/>
        </w:rPr>
        <w:t>(1721 (mai, édition A) – 1721 (octobre, édition B) – 1758)</w:t>
      </w:r>
    </w:p>
    <w:p w:rsidR="000B4696" w:rsidRPr="00893AA2" w:rsidRDefault="000A2C27" w:rsidP="00893AA2">
      <w:pPr>
        <w:pStyle w:val="Paragraphedeliste"/>
        <w:numPr>
          <w:ilvl w:val="1"/>
          <w:numId w:val="2"/>
        </w:numPr>
        <w:ind w:left="0" w:firstLine="0"/>
        <w:rPr>
          <w:rFonts w:ascii="Junicode" w:hAnsi="Junicode"/>
        </w:rPr>
      </w:pPr>
      <w:r>
        <w:rPr>
          <w:rFonts w:ascii="Junicode" w:hAnsi="Junicode"/>
        </w:rPr>
        <w:t>a</w:t>
      </w:r>
      <w:r w:rsidR="00241237">
        <w:rPr>
          <w:rFonts w:ascii="Junicode" w:hAnsi="Junicode"/>
        </w:rPr>
        <w:t>.</w:t>
      </w:r>
      <w:r w:rsidR="000326F5">
        <w:rPr>
          <w:rFonts w:ascii="Junicode" w:hAnsi="Junicode"/>
        </w:rPr>
        <w:t xml:space="preserve"> Lettre 74</w:t>
      </w:r>
      <w:r w:rsidR="008133F8">
        <w:rPr>
          <w:rFonts w:ascii="Junicode" w:hAnsi="Junicode"/>
        </w:rPr>
        <w:t xml:space="preserve"> (Usbek)</w:t>
      </w:r>
      <w:r w:rsidR="00893AA2">
        <w:rPr>
          <w:rFonts w:ascii="Junicode" w:hAnsi="Junicode"/>
        </w:rPr>
        <w:t xml:space="preserve"> voir </w:t>
      </w:r>
      <w:hyperlink r:id="rId11" w:history="1">
        <w:r w:rsidR="00893AA2" w:rsidRPr="00893AA2">
          <w:rPr>
            <w:rStyle w:val="Lienhypertexte"/>
            <w:rFonts w:ascii="Junicode" w:hAnsi="Junicode"/>
          </w:rPr>
          <w:t>https://montesquieu.huma</w:t>
        </w:r>
        <w:r w:rsidR="00893AA2" w:rsidRPr="00893AA2">
          <w:rPr>
            <w:rStyle w:val="Lienhypertexte"/>
            <w:rFonts w:ascii="Junicode" w:hAnsi="Junicode"/>
          </w:rPr>
          <w:t>-</w:t>
        </w:r>
        <w:r w:rsidR="00893AA2" w:rsidRPr="00893AA2">
          <w:rPr>
            <w:rStyle w:val="Lienhypertexte"/>
            <w:rFonts w:ascii="Junicode" w:hAnsi="Junicode"/>
          </w:rPr>
          <w:t>num.fr/editions/fictions-poesies/lettres-persanes/lire/lettre/74?edition=1758</w:t>
        </w:r>
      </w:hyperlink>
      <w:r w:rsidR="00893AA2" w:rsidRPr="00893AA2">
        <w:rPr>
          <w:rFonts w:ascii="Junicode" w:hAnsi="Junicode"/>
        </w:rPr>
        <w:t xml:space="preserve"> </w:t>
      </w:r>
      <w:r w:rsidR="00584575">
        <w:rPr>
          <w:rFonts w:ascii="Junicode" w:hAnsi="Junicode"/>
        </w:rPr>
        <w:t>(édition de 2019, en ligne)</w:t>
      </w:r>
    </w:p>
    <w:p w:rsidR="00E128CA" w:rsidRDefault="000326F5" w:rsidP="000A2C27">
      <w:pPr>
        <w:widowControl w:val="0"/>
        <w:jc w:val="both"/>
      </w:pPr>
      <w:r>
        <w:t xml:space="preserve">Toutes ces idées, mon cher </w:t>
      </w:r>
      <w:proofErr w:type="spellStart"/>
      <w:r>
        <w:t>Ibben</w:t>
      </w:r>
      <w:proofErr w:type="spellEnd"/>
      <w:r>
        <w:t>, n’ont d’autre source que notre orgueil ; nous ne sentons point notre petitesse et, malgré qu’on en ait, nous voulons être comptés dans l’univers, y figurer et y être un objet important. Nous nous imaginons que l’anéantissement d’un être aussi parfait que nous dégraderait toute la nature, et nous ne concevons pas qu’un homme de plus ou moins dans le monde, que dis-je ?, tous les hommes ensemble, cent millions de terres</w:t>
      </w:r>
      <w:r>
        <w:rPr>
          <w:vertAlign w:val="superscript"/>
        </w:rPr>
        <w:t>*</w:t>
      </w:r>
      <w:r>
        <w:t xml:space="preserve"> comme la nôtre, ne sont qu’un atome subtil et délié que Dieu n’aperçoit qu’à cause de l’immensité de ses connaissances</w:t>
      </w:r>
    </w:p>
    <w:p w:rsidR="003B2476" w:rsidRDefault="003B2476" w:rsidP="000A2C27">
      <w:pPr>
        <w:widowControl w:val="0"/>
        <w:jc w:val="both"/>
      </w:pPr>
    </w:p>
    <w:p w:rsidR="000326F5" w:rsidRDefault="003B2476" w:rsidP="000A2C27">
      <w:pPr>
        <w:pStyle w:val="Paragraphedeliste"/>
        <w:widowControl w:val="0"/>
        <w:ind w:left="0"/>
        <w:jc w:val="both"/>
      </w:pPr>
      <w:r>
        <w:t>*1758 : de têtes</w:t>
      </w:r>
    </w:p>
    <w:p w:rsidR="00E128CA" w:rsidRDefault="00E128CA" w:rsidP="00E128CA">
      <w:pPr>
        <w:widowControl w:val="0"/>
        <w:jc w:val="both"/>
      </w:pPr>
      <w:hyperlink r:id="rId12" w:history="1">
        <w:r w:rsidRPr="00104CF7">
          <w:rPr>
            <w:rStyle w:val="Lienhypertexte"/>
          </w:rPr>
          <w:t>Lettre supplémentaire 3</w:t>
        </w:r>
      </w:hyperlink>
      <w:r>
        <w:t xml:space="preserve"> (ajoutée dans l’édition de 1758)</w:t>
      </w:r>
    </w:p>
    <w:p w:rsidR="00204821" w:rsidRDefault="00204821" w:rsidP="000A2C27">
      <w:pPr>
        <w:pStyle w:val="Paragraphedeliste"/>
        <w:widowControl w:val="0"/>
        <w:ind w:left="0"/>
        <w:jc w:val="both"/>
      </w:pPr>
    </w:p>
    <w:p w:rsidR="00204821" w:rsidRDefault="00241237" w:rsidP="000A2C27">
      <w:pPr>
        <w:pStyle w:val="Paragraphedeliste"/>
        <w:widowControl w:val="0"/>
        <w:ind w:left="0"/>
        <w:jc w:val="both"/>
        <w:rPr>
          <w:rFonts w:ascii="Junicode" w:hAnsi="Junicode"/>
        </w:rPr>
      </w:pPr>
      <w:r>
        <w:rPr>
          <w:rFonts w:ascii="Junicode" w:hAnsi="Junicode"/>
        </w:rPr>
        <w:t xml:space="preserve">2.1.b. </w:t>
      </w:r>
      <w:r w:rsidR="00204821" w:rsidRPr="00204821">
        <w:rPr>
          <w:rFonts w:ascii="Junicode" w:hAnsi="Junicode"/>
          <w:b/>
          <w:bCs/>
        </w:rPr>
        <w:t xml:space="preserve">Fontenelle, </w:t>
      </w:r>
      <w:r w:rsidR="00204821" w:rsidRPr="00204821">
        <w:rPr>
          <w:rFonts w:ascii="Junicode" w:hAnsi="Junicode"/>
          <w:b/>
          <w:bCs/>
          <w:i/>
          <w:iCs/>
        </w:rPr>
        <w:t>Entretiens sur la pluralité des mondes</w:t>
      </w:r>
      <w:r w:rsidR="00204821" w:rsidRPr="00204821">
        <w:rPr>
          <w:rFonts w:ascii="Junicode" w:hAnsi="Junicode"/>
          <w:b/>
          <w:bCs/>
        </w:rPr>
        <w:t xml:space="preserve"> (1686),</w:t>
      </w:r>
      <w:r w:rsidR="00204821">
        <w:rPr>
          <w:rFonts w:ascii="Junicode" w:hAnsi="Junicode"/>
        </w:rPr>
        <w:t xml:space="preserve"> Premier soir : « avec </w:t>
      </w:r>
      <w:r w:rsidR="00204821" w:rsidRPr="00690853">
        <w:rPr>
          <w:rFonts w:ascii="Junicode" w:hAnsi="Junicode"/>
        </w:rPr>
        <w:t>une personne comme elle, qui ne sav</w:t>
      </w:r>
      <w:r w:rsidR="00204821">
        <w:rPr>
          <w:rFonts w:ascii="Junicode" w:hAnsi="Junicode"/>
        </w:rPr>
        <w:t>a</w:t>
      </w:r>
      <w:r w:rsidR="00204821" w:rsidRPr="00690853">
        <w:rPr>
          <w:rFonts w:ascii="Junicode" w:hAnsi="Junicode"/>
        </w:rPr>
        <w:t>it rien en matière de physique, il fall</w:t>
      </w:r>
      <w:r w:rsidR="00204821">
        <w:rPr>
          <w:rFonts w:ascii="Junicode" w:hAnsi="Junicode"/>
        </w:rPr>
        <w:t>a</w:t>
      </w:r>
      <w:r w:rsidR="00204821" w:rsidRPr="00690853">
        <w:rPr>
          <w:rFonts w:ascii="Junicode" w:hAnsi="Junicode"/>
        </w:rPr>
        <w:t>it prendre les choses de bien loin</w:t>
      </w:r>
      <w:r w:rsidR="00204821">
        <w:rPr>
          <w:rFonts w:ascii="Junicode" w:hAnsi="Junicode"/>
        </w:rPr>
        <w:t xml:space="preserve"> </w:t>
      </w:r>
      <w:r w:rsidR="00204821" w:rsidRPr="00690853">
        <w:rPr>
          <w:rFonts w:ascii="Junicode" w:hAnsi="Junicode"/>
        </w:rPr>
        <w:t>pour lui prouver que la Terre pouv</w:t>
      </w:r>
      <w:r w:rsidR="00204821">
        <w:rPr>
          <w:rFonts w:ascii="Junicode" w:hAnsi="Junicode"/>
        </w:rPr>
        <w:t>a</w:t>
      </w:r>
      <w:r w:rsidR="00204821" w:rsidRPr="00690853">
        <w:rPr>
          <w:rFonts w:ascii="Junicode" w:hAnsi="Junicode"/>
        </w:rPr>
        <w:t xml:space="preserve">it être une planète, et les planètes autant de </w:t>
      </w:r>
      <w:r w:rsidR="00204821">
        <w:rPr>
          <w:rFonts w:ascii="Junicode" w:hAnsi="Junicode"/>
        </w:rPr>
        <w:t>T</w:t>
      </w:r>
      <w:r w:rsidR="00204821" w:rsidRPr="00690853">
        <w:rPr>
          <w:rFonts w:ascii="Junicode" w:hAnsi="Junicode"/>
        </w:rPr>
        <w:t xml:space="preserve">erres, et toutes les étoiles autant de </w:t>
      </w:r>
      <w:r w:rsidR="00204821">
        <w:rPr>
          <w:rFonts w:ascii="Junicode" w:hAnsi="Junicode"/>
        </w:rPr>
        <w:t>S</w:t>
      </w:r>
      <w:r w:rsidR="00204821" w:rsidRPr="00690853">
        <w:rPr>
          <w:rFonts w:ascii="Junicode" w:hAnsi="Junicode"/>
        </w:rPr>
        <w:t>oleils qui éclair</w:t>
      </w:r>
      <w:r w:rsidR="00204821">
        <w:rPr>
          <w:rFonts w:ascii="Junicode" w:hAnsi="Junicode"/>
        </w:rPr>
        <w:t>a</w:t>
      </w:r>
      <w:r w:rsidR="00204821" w:rsidRPr="00690853">
        <w:rPr>
          <w:rFonts w:ascii="Junicode" w:hAnsi="Junicode"/>
        </w:rPr>
        <w:t>ient des mondes</w:t>
      </w:r>
      <w:r w:rsidR="00204821">
        <w:rPr>
          <w:rFonts w:ascii="Junicode" w:hAnsi="Junicode"/>
        </w:rPr>
        <w:t>. »</w:t>
      </w:r>
    </w:p>
    <w:p w:rsidR="00241237" w:rsidRDefault="00241237" w:rsidP="000A2C27">
      <w:pPr>
        <w:pStyle w:val="Paragraphedeliste"/>
        <w:widowControl w:val="0"/>
        <w:ind w:left="0"/>
        <w:jc w:val="both"/>
        <w:rPr>
          <w:rFonts w:ascii="Junicode" w:hAnsi="Junicode"/>
        </w:rPr>
      </w:pPr>
      <w:r>
        <w:rPr>
          <w:rFonts w:ascii="Junicode" w:hAnsi="Junicode"/>
        </w:rPr>
        <w:t>2.1.c.</w:t>
      </w:r>
      <w:r w:rsidR="002636E6">
        <w:rPr>
          <w:rFonts w:ascii="Junicode" w:hAnsi="Junicode"/>
          <w:b/>
          <w:bCs/>
        </w:rPr>
        <w:t xml:space="preserve"> </w:t>
      </w:r>
      <w:r w:rsidR="00204821" w:rsidRPr="00204821">
        <w:rPr>
          <w:rFonts w:ascii="Junicode" w:hAnsi="Junicode"/>
          <w:b/>
          <w:bCs/>
        </w:rPr>
        <w:t xml:space="preserve">Pascal, </w:t>
      </w:r>
      <w:r w:rsidR="00204821" w:rsidRPr="00204821">
        <w:rPr>
          <w:rFonts w:ascii="Junicode" w:hAnsi="Junicode"/>
          <w:b/>
          <w:bCs/>
          <w:i/>
          <w:iCs/>
        </w:rPr>
        <w:t>Pensées</w:t>
      </w:r>
      <w:r w:rsidR="00204821" w:rsidRPr="00204821">
        <w:rPr>
          <w:rFonts w:ascii="Junicode" w:hAnsi="Junicode"/>
          <w:b/>
          <w:bCs/>
        </w:rPr>
        <w:t>,</w:t>
      </w:r>
      <w:r w:rsidR="00204821">
        <w:rPr>
          <w:rFonts w:ascii="Junicode" w:hAnsi="Junicode"/>
        </w:rPr>
        <w:t xml:space="preserve"> « Disproportion de l’homme » : </w:t>
      </w:r>
      <w:r w:rsidR="00F42601">
        <w:rPr>
          <w:rFonts w:ascii="Junicode" w:hAnsi="Junicode"/>
        </w:rPr>
        <w:t>« </w:t>
      </w:r>
      <w:r w:rsidR="00204821" w:rsidRPr="00204821">
        <w:rPr>
          <w:rFonts w:ascii="Junicode" w:hAnsi="Junicode"/>
        </w:rPr>
        <w:t>Car enfin qu'est-ce que l'homme dans la nature</w:t>
      </w:r>
      <w:r w:rsidR="00F42601">
        <w:rPr>
          <w:rFonts w:ascii="Junicode" w:hAnsi="Junicode"/>
        </w:rPr>
        <w:t> </w:t>
      </w:r>
      <w:r w:rsidR="00204821" w:rsidRPr="00204821">
        <w:rPr>
          <w:rFonts w:ascii="Junicode" w:hAnsi="Junicode"/>
        </w:rPr>
        <w:t>? Un néant à l'égard de l'infini, un tout à l'égard du néant, un milieu entre rien et tout. Infiniment éloigné de comprendre les extrêmes, la fin des choses et leur principe sont pour lui invinciblement cachés dans un secret impénétrable, également incapable de voir le néant d'où il est tiré et l'infini où il est englouti</w:t>
      </w:r>
      <w:r w:rsidR="00F42601">
        <w:rPr>
          <w:rFonts w:ascii="Junicode" w:hAnsi="Junicode"/>
        </w:rPr>
        <w:t> »</w:t>
      </w:r>
      <w:r w:rsidR="00204821" w:rsidRPr="00204821">
        <w:rPr>
          <w:rFonts w:ascii="Junicode" w:hAnsi="Junicode"/>
        </w:rPr>
        <w:t>.</w:t>
      </w:r>
    </w:p>
    <w:p w:rsidR="000326F5" w:rsidRDefault="00241237" w:rsidP="000A2C27">
      <w:pPr>
        <w:pStyle w:val="citation"/>
      </w:pPr>
      <w:r>
        <w:t xml:space="preserve">2.2. </w:t>
      </w:r>
      <w:r w:rsidRPr="000A2C27">
        <w:rPr>
          <w:b/>
          <w:bCs/>
        </w:rPr>
        <w:t xml:space="preserve">Quelques réflexions sur les </w:t>
      </w:r>
      <w:r w:rsidRPr="000A2C27">
        <w:rPr>
          <w:rStyle w:val="Accentuation"/>
          <w:rFonts w:cstheme="minorHAnsi"/>
          <w:b/>
          <w:bCs/>
        </w:rPr>
        <w:t>Lettres persanes</w:t>
      </w:r>
      <w:r>
        <w:rPr>
          <w:rStyle w:val="Accentuation"/>
          <w:rFonts w:cstheme="minorHAnsi"/>
        </w:rPr>
        <w:t> </w:t>
      </w:r>
      <w:r>
        <w:t xml:space="preserve">: « Rien n’a plu davantage dans les </w:t>
      </w:r>
      <w:r>
        <w:rPr>
          <w:rStyle w:val="Accentuation"/>
        </w:rPr>
        <w:t>Lettres persanes</w:t>
      </w:r>
      <w:r>
        <w:t xml:space="preserve"> que d’y trouver sans y penser une espèce de roman. On en voit le commencement, le </w:t>
      </w:r>
      <w:r>
        <w:lastRenderedPageBreak/>
        <w:t xml:space="preserve">progrès, la fin ; </w:t>
      </w:r>
      <w:r w:rsidRPr="00F0189E">
        <w:rPr>
          <w:b/>
          <w:bCs/>
        </w:rPr>
        <w:t>les divers personnages sont placés dans une chaîne qui les lie</w:t>
      </w:r>
      <w:r>
        <w:t>. À mesure qu’ils font un plus long séjour en Europe, les mœurs de cette partie du monde prennent dans leur tête un air moins merveilleux et moins bizarre, et ils sont plus ou moins frappés de ce bizarre et de ce merveilleux suivant la différence de leurs caractères. D’un autre côté, le désordre croît dans le sérail d’Asie à proportion de la longueur de l’absence d’Usbek, c’est-à-dire à mesure que la fureur augmente et que l’amour diminue »</w:t>
      </w:r>
      <w:r w:rsidR="00AE24A0">
        <w:t>.</w:t>
      </w:r>
    </w:p>
    <w:p w:rsidR="00197622" w:rsidRPr="00AE24A0" w:rsidRDefault="00197622" w:rsidP="000A2C27">
      <w:pPr>
        <w:pStyle w:val="citation"/>
      </w:pPr>
      <w:r>
        <w:t>Catherine Volpilhac-Auger, « </w:t>
      </w:r>
      <w:hyperlink r:id="rId13" w:history="1">
        <w:r w:rsidRPr="00197622">
          <w:rPr>
            <w:rStyle w:val="Lienhypertexte"/>
          </w:rPr>
          <w:t xml:space="preserve">Pour en finir avec la chaîne secrète des </w:t>
        </w:r>
        <w:r w:rsidRPr="00197622">
          <w:rPr>
            <w:rStyle w:val="Lienhypertexte"/>
            <w:rFonts w:cstheme="minorHAnsi"/>
          </w:rPr>
          <w:t>Lettres persanes</w:t>
        </w:r>
        <w:r w:rsidRPr="00197622">
          <w:rPr>
            <w:rStyle w:val="Lienhypertexte"/>
          </w:rPr>
          <w:t> </w:t>
        </w:r>
      </w:hyperlink>
      <w:r>
        <w:t xml:space="preserve">», </w:t>
      </w:r>
      <w:hyperlink r:id="rId14" w:history="1">
        <w:r w:rsidRPr="00197622">
          <w:rPr>
            <w:rStyle w:val="Lienhypertexte"/>
          </w:rPr>
          <w:t>Montesquie</w:t>
        </w:r>
        <w:r w:rsidRPr="00197622">
          <w:rPr>
            <w:rStyle w:val="Lienhypertexte"/>
          </w:rPr>
          <w:t>u</w:t>
        </w:r>
        <w:r w:rsidRPr="00197622">
          <w:rPr>
            <w:rStyle w:val="Lienhypertexte"/>
          </w:rPr>
          <w:t> : une histoire de temps</w:t>
        </w:r>
      </w:hyperlink>
      <w:r>
        <w:t>, ENS Éditions, 2017</w:t>
      </w:r>
    </w:p>
    <w:p w:rsidR="000B4696" w:rsidRPr="000A2C27" w:rsidRDefault="000B4696" w:rsidP="000A2C27">
      <w:pPr>
        <w:pStyle w:val="Paragraphedeliste"/>
        <w:numPr>
          <w:ilvl w:val="0"/>
          <w:numId w:val="2"/>
        </w:numPr>
        <w:ind w:left="0" w:firstLine="0"/>
        <w:rPr>
          <w:rStyle w:val="Accentuation"/>
          <w:rFonts w:ascii="Junicode" w:hAnsi="Junicode"/>
          <w:b/>
          <w:bCs/>
          <w:i w:val="0"/>
          <w:iCs w:val="0"/>
        </w:rPr>
      </w:pPr>
      <w:r w:rsidRPr="000A2C27">
        <w:rPr>
          <w:rStyle w:val="Accentuation"/>
          <w:rFonts w:ascii="Junicode" w:hAnsi="Junicode" w:cstheme="minorHAnsi"/>
          <w:b/>
          <w:bCs/>
        </w:rPr>
        <w:t>Considérations sur les causes de la grandeur des Romains et de leur décadence</w:t>
      </w:r>
      <w:r w:rsidR="00584575">
        <w:rPr>
          <w:rStyle w:val="Accentuation"/>
          <w:rFonts w:ascii="Junicode" w:hAnsi="Junicode" w:cstheme="minorHAnsi"/>
          <w:b/>
          <w:bCs/>
          <w:i w:val="0"/>
          <w:iCs w:val="0"/>
        </w:rPr>
        <w:t xml:space="preserve"> (1734 – 1748 – 1758)</w:t>
      </w:r>
    </w:p>
    <w:p w:rsidR="000B4696" w:rsidRPr="001844AF" w:rsidRDefault="000B4696" w:rsidP="000A2C27">
      <w:pPr>
        <w:jc w:val="both"/>
      </w:pPr>
      <w:r>
        <w:t xml:space="preserve">3.1. </w:t>
      </w:r>
      <w:r w:rsidRPr="001844AF">
        <w:t>On peut donner plusieurs causes de cette coutume si générale des Romains de se donner la mort : le progrès de la secte stoïque, qui y encourageait ; l’établissement des triomphes et de l’esclavage, qui firent penser à plusieurs grands hommes qu’il ne fallait pas survivre à une défaite ; l’avantage que les accusés avaient de se donner la mort plutôt que de subir un jugement par lequel leur mémoire devait être flétrie et leurs biens confisqués</w:t>
      </w:r>
      <w:r w:rsidRPr="000B4696">
        <w:rPr>
          <w:rStyle w:val="Appelnotedebasdep"/>
          <w:sz w:val="24"/>
        </w:rPr>
        <w:footnoteReference w:id="1"/>
      </w:r>
      <w:r w:rsidRPr="001844AF">
        <w:t xml:space="preserve"> ; une espèce de point d’honneur, peut-être plus raisonnable que celui qui nous porte aujourd’hui à égorger notre ami pour un geste ou une parole ; enfin une grande commodité pour </w:t>
      </w:r>
      <w:r w:rsidRPr="00CF7602">
        <w:t>le</w:t>
      </w:r>
      <w:r w:rsidRPr="001844AF">
        <w:t xml:space="preserve"> </w:t>
      </w:r>
      <w:r w:rsidRPr="00042CFB">
        <w:t>héroïsme,</w:t>
      </w:r>
      <w:r w:rsidRPr="001844AF">
        <w:t xml:space="preserve"> chacun faisant finir la pièce qu’il jouait dans le monde à l’endroit où il voulait</w:t>
      </w:r>
      <w:r w:rsidRPr="000B4696">
        <w:rPr>
          <w:rStyle w:val="Appelnotedebasdep"/>
          <w:sz w:val="24"/>
        </w:rPr>
        <w:footnoteReference w:id="2"/>
      </w:r>
      <w:r w:rsidRPr="001844AF">
        <w:t>.</w:t>
      </w:r>
    </w:p>
    <w:p w:rsidR="00AE7CFD" w:rsidRPr="001844AF" w:rsidRDefault="00AE7CFD" w:rsidP="000A2C27">
      <w:pPr>
        <w:jc w:val="both"/>
      </w:pPr>
      <w:r>
        <w:rPr>
          <w:rFonts w:ascii="Junicode" w:hAnsi="Junicode"/>
        </w:rPr>
        <w:t xml:space="preserve">[…] </w:t>
      </w:r>
      <w:r w:rsidRPr="001844AF">
        <w:t>Il est certain que les hommes sont devenus moins libres, moins courageux, moins portés aux grandes entreprises qu’ils n’étaient lorsque, par cette puissance qu’on prenait sur soi-même, on pouvait à tous les instants échapper à toute autre puissance</w:t>
      </w:r>
      <w:r w:rsidRPr="00AE7CFD">
        <w:rPr>
          <w:rStyle w:val="Appelnotedebasdep"/>
          <w:sz w:val="24"/>
        </w:rPr>
        <w:footnoteReference w:id="3"/>
      </w:r>
      <w:r>
        <w:t>.</w:t>
      </w:r>
    </w:p>
    <w:p w:rsidR="000B4696" w:rsidRPr="00AE7CFD" w:rsidRDefault="000B4696" w:rsidP="000A2C27">
      <w:pPr>
        <w:rPr>
          <w:rFonts w:ascii="Junicode" w:hAnsi="Junicode"/>
        </w:rPr>
      </w:pPr>
    </w:p>
    <w:p w:rsidR="005E3F81" w:rsidRDefault="00AE24A0" w:rsidP="000A2C27">
      <w:pPr>
        <w:pStyle w:val="Paragraphedeliste"/>
        <w:numPr>
          <w:ilvl w:val="0"/>
          <w:numId w:val="2"/>
        </w:numPr>
        <w:ind w:left="0" w:firstLine="0"/>
        <w:rPr>
          <w:rFonts w:ascii="Junicode" w:hAnsi="Junicode"/>
          <w:b/>
          <w:bCs/>
        </w:rPr>
      </w:pPr>
      <w:r w:rsidRPr="000A2C27">
        <w:rPr>
          <w:rFonts w:ascii="Junicode" w:eastAsia="MS Mincho" w:hAnsi="Junicode" w:cs="Times New Roman"/>
          <w:b/>
          <w:bCs/>
          <w:i/>
        </w:rPr>
        <w:t>L’Esprit des lois</w:t>
      </w:r>
      <w:r w:rsidRPr="000A2C27">
        <w:rPr>
          <w:rFonts w:ascii="Junicode" w:hAnsi="Junicode"/>
          <w:b/>
          <w:bCs/>
        </w:rPr>
        <w:t xml:space="preserve"> </w:t>
      </w:r>
      <w:r w:rsidR="00584575">
        <w:rPr>
          <w:rFonts w:ascii="Junicode" w:hAnsi="Junicode"/>
          <w:b/>
          <w:bCs/>
        </w:rPr>
        <w:t>(1748 – 1758)</w:t>
      </w:r>
    </w:p>
    <w:p w:rsidR="008744F9" w:rsidRDefault="008744F9" w:rsidP="008744F9">
      <w:pPr>
        <w:pStyle w:val="Paragraphedeliste"/>
        <w:numPr>
          <w:ilvl w:val="1"/>
          <w:numId w:val="2"/>
        </w:numPr>
        <w:ind w:left="0" w:hanging="11"/>
        <w:rPr>
          <w:rFonts w:ascii="Junicode" w:hAnsi="Junicode"/>
        </w:rPr>
      </w:pPr>
      <w:r>
        <w:rPr>
          <w:rFonts w:ascii="Junicode" w:hAnsi="Junicode"/>
          <w:b/>
          <w:bCs/>
        </w:rPr>
        <w:t xml:space="preserve"> </w:t>
      </w:r>
      <w:r w:rsidRPr="008744F9">
        <w:rPr>
          <w:rFonts w:ascii="Junicode" w:hAnsi="Junicode"/>
        </w:rPr>
        <w:t>XXIV, 14</w:t>
      </w:r>
      <w:r w:rsidR="00A97996">
        <w:rPr>
          <w:rFonts w:ascii="Junicode" w:hAnsi="Junicode"/>
        </w:rPr>
        <w:t> :</w:t>
      </w:r>
      <w:r w:rsidRPr="008744F9">
        <w:rPr>
          <w:rFonts w:ascii="Junicode" w:hAnsi="Junicode"/>
        </w:rPr>
        <w:t xml:space="preserve"> </w:t>
      </w:r>
      <w:r>
        <w:rPr>
          <w:rFonts w:ascii="Junicode" w:hAnsi="Junicode"/>
        </w:rPr>
        <w:t>« </w:t>
      </w:r>
      <w:r w:rsidRPr="008744F9">
        <w:rPr>
          <w:rFonts w:ascii="Junicode" w:hAnsi="Junicode"/>
        </w:rPr>
        <w:t>Lorsque la religion justifie  pour une chose d’accident, elle perd inutilement le plus grand ressort qui soit parmi les hommes. On croit chez les Indiens que les eaux du Gange ont une vertu sanctifiante : ceux qui meurent sur ses bords sont réputés exempts des peines de l’autre vie et devoir habiter une région pleine de délices ; on envoie des lieux les plus reculés des urnes pleines des cendres des morts pour les jeter dans le Gange. Qu’importe qu’on vive vertueusement, ou non : on se fera jeter dans le Gange</w:t>
      </w:r>
      <w:r>
        <w:rPr>
          <w:rFonts w:ascii="Junicode" w:hAnsi="Junicode"/>
        </w:rPr>
        <w:t>. »</w:t>
      </w:r>
    </w:p>
    <w:p w:rsidR="00642819" w:rsidRDefault="00642819" w:rsidP="00642819">
      <w:pPr>
        <w:pStyle w:val="Paragraphedeliste"/>
        <w:ind w:left="0"/>
        <w:rPr>
          <w:rFonts w:ascii="Junicode" w:hAnsi="Junicode"/>
        </w:rPr>
      </w:pPr>
    </w:p>
    <w:p w:rsidR="008744F9" w:rsidRDefault="00A97996" w:rsidP="008744F9">
      <w:pPr>
        <w:pStyle w:val="Paragraphedeliste"/>
        <w:numPr>
          <w:ilvl w:val="1"/>
          <w:numId w:val="2"/>
        </w:numPr>
        <w:ind w:left="0" w:hanging="11"/>
        <w:rPr>
          <w:rFonts w:ascii="Junicode" w:hAnsi="Junicode"/>
        </w:rPr>
      </w:pPr>
      <w:r>
        <w:rPr>
          <w:rFonts w:ascii="Junicode" w:hAnsi="Junicode"/>
        </w:rPr>
        <w:t>XIII, 17 : « </w:t>
      </w:r>
      <w:r w:rsidR="008744F9" w:rsidRPr="008744F9">
        <w:rPr>
          <w:rFonts w:ascii="Junicode" w:hAnsi="Junicode"/>
        </w:rPr>
        <w:t>Une maladie nouvelle s’est répandue en Europe ; elle a saisi</w:t>
      </w:r>
      <w:r w:rsidR="00E42609">
        <w:rPr>
          <w:rFonts w:ascii="Junicode" w:hAnsi="Junicode"/>
        </w:rPr>
        <w:t xml:space="preserve"> [48G : suivi]</w:t>
      </w:r>
      <w:r w:rsidR="008744F9" w:rsidRPr="008744F9">
        <w:rPr>
          <w:rFonts w:ascii="Junicode" w:hAnsi="Junicode"/>
        </w:rPr>
        <w:t xml:space="preserve"> nos princes et leur fait entretenir un nombre désordonné de troupes. Elle a ses redoublements et elle devient nécessairement contagieuse : car, sitôt qu’un État augmente </w:t>
      </w:r>
      <w:r w:rsidR="008744F9" w:rsidRPr="00A97996">
        <w:rPr>
          <w:rFonts w:ascii="Junicode" w:hAnsi="Junicode"/>
        </w:rPr>
        <w:t xml:space="preserve">ce qu’il appelle </w:t>
      </w:r>
      <w:r w:rsidR="008744F9" w:rsidRPr="00A97996">
        <w:rPr>
          <w:rFonts w:ascii="Junicode" w:hAnsi="Junicode"/>
          <w:highlight w:val="cyan"/>
        </w:rPr>
        <w:t>ses troupes</w:t>
      </w:r>
      <w:r w:rsidR="008744F9" w:rsidRPr="008744F9">
        <w:rPr>
          <w:rFonts w:ascii="Junicode" w:hAnsi="Junicode"/>
        </w:rPr>
        <w:t>, les autres soudain augmentent les leurs, de façon qu’on ne gagne rien par là que la ruine commune</w:t>
      </w:r>
      <w:r>
        <w:rPr>
          <w:rFonts w:ascii="Junicode" w:hAnsi="Junicode"/>
        </w:rPr>
        <w:t> »</w:t>
      </w:r>
      <w:r w:rsidR="008744F9" w:rsidRPr="008744F9">
        <w:rPr>
          <w:rFonts w:ascii="Junicode" w:hAnsi="Junicode"/>
        </w:rPr>
        <w:t>.</w:t>
      </w:r>
    </w:p>
    <w:p w:rsidR="00642819" w:rsidRDefault="00642819" w:rsidP="00642819">
      <w:pPr>
        <w:pStyle w:val="Paragraphedeliste"/>
        <w:ind w:left="0"/>
        <w:rPr>
          <w:rFonts w:ascii="Junicode" w:hAnsi="Junicode"/>
        </w:rPr>
      </w:pPr>
    </w:p>
    <w:p w:rsidR="00D22FFC" w:rsidRDefault="00D22FFC" w:rsidP="008744F9">
      <w:pPr>
        <w:pStyle w:val="Paragraphedeliste"/>
        <w:ind w:left="0"/>
        <w:rPr>
          <w:rFonts w:ascii="Junicode" w:hAnsi="Junicode"/>
        </w:rPr>
      </w:pPr>
      <w:r>
        <w:rPr>
          <w:rFonts w:ascii="Junicode" w:hAnsi="Junicode"/>
        </w:rPr>
        <w:lastRenderedPageBreak/>
        <w:t xml:space="preserve">4.3.a. </w:t>
      </w:r>
      <w:r w:rsidRPr="00CB4717">
        <w:rPr>
          <w:rFonts w:ascii="Junicode" w:hAnsi="Junicode"/>
          <w:b/>
          <w:bCs/>
        </w:rPr>
        <w:t>Table des matières.</w:t>
      </w:r>
      <w:r w:rsidRPr="001573AB">
        <w:rPr>
          <w:rFonts w:ascii="Junicode" w:hAnsi="Junicode"/>
          <w:i/>
          <w:iCs/>
        </w:rPr>
        <w:t xml:space="preserve"> </w:t>
      </w:r>
      <w:r w:rsidRPr="00A97996">
        <w:rPr>
          <w:rFonts w:ascii="Junicode" w:hAnsi="Junicode"/>
          <w:i/>
          <w:iCs/>
        </w:rPr>
        <w:t>Femmes.</w:t>
      </w:r>
      <w:r>
        <w:rPr>
          <w:rFonts w:ascii="Junicode" w:hAnsi="Junicode"/>
        </w:rPr>
        <w:t xml:space="preserve"> </w:t>
      </w:r>
    </w:p>
    <w:p w:rsidR="00D22FFC" w:rsidRPr="00D22FFC" w:rsidRDefault="00D22FFC" w:rsidP="00D22FFC">
      <w:pPr>
        <w:pStyle w:val="Paragraphedeliste"/>
        <w:ind w:left="0"/>
        <w:rPr>
          <w:rFonts w:ascii="Junicode" w:hAnsi="Junicode"/>
        </w:rPr>
      </w:pPr>
      <w:r>
        <w:rPr>
          <w:rFonts w:ascii="Junicode" w:hAnsi="Junicode"/>
        </w:rPr>
        <w:t xml:space="preserve">[1749] </w:t>
      </w:r>
      <w:r w:rsidRPr="00D22FFC">
        <w:rPr>
          <w:rFonts w:ascii="Junicode" w:hAnsi="Junicode"/>
        </w:rPr>
        <w:t xml:space="preserve">Femmes (condition des) dans la Monarchie, dans les </w:t>
      </w:r>
      <w:proofErr w:type="spellStart"/>
      <w:r w:rsidRPr="00D22FFC">
        <w:rPr>
          <w:rFonts w:ascii="Junicode" w:hAnsi="Junicode"/>
        </w:rPr>
        <w:t>Etats</w:t>
      </w:r>
      <w:proofErr w:type="spellEnd"/>
      <w:r w:rsidRPr="00D22FFC">
        <w:rPr>
          <w:rFonts w:ascii="Junicode" w:hAnsi="Junicode"/>
        </w:rPr>
        <w:t xml:space="preserve"> Despotiques.</w:t>
      </w:r>
    </w:p>
    <w:p w:rsidR="00D22FFC" w:rsidRPr="00D22FFC" w:rsidRDefault="00D22FFC" w:rsidP="00D22FFC">
      <w:pPr>
        <w:pStyle w:val="Paragraphedeliste"/>
        <w:ind w:left="0" w:firstLine="708"/>
        <w:rPr>
          <w:rFonts w:ascii="Junicode" w:hAnsi="Junicode"/>
        </w:rPr>
      </w:pPr>
      <w:r w:rsidRPr="00D22FFC">
        <w:rPr>
          <w:rFonts w:ascii="Junicode" w:hAnsi="Junicode"/>
        </w:rPr>
        <w:t>– (Conduite des), attention qu’y apport</w:t>
      </w:r>
      <w:r>
        <w:rPr>
          <w:rFonts w:ascii="Junicode" w:hAnsi="Junicode"/>
        </w:rPr>
        <w:t>a</w:t>
      </w:r>
      <w:r w:rsidRPr="00D22FFC">
        <w:rPr>
          <w:rFonts w:ascii="Junicode" w:hAnsi="Junicode"/>
        </w:rPr>
        <w:t>ient les anciens Grecs.</w:t>
      </w:r>
    </w:p>
    <w:p w:rsidR="00D22FFC" w:rsidRPr="00D22FFC" w:rsidRDefault="00D22FFC" w:rsidP="00D22FFC">
      <w:pPr>
        <w:ind w:left="708"/>
        <w:rPr>
          <w:rFonts w:ascii="Junicode" w:hAnsi="Junicode"/>
        </w:rPr>
      </w:pPr>
      <w:r>
        <w:rPr>
          <w:rFonts w:ascii="Junicode" w:hAnsi="Junicode"/>
        </w:rPr>
        <w:t xml:space="preserve">– </w:t>
      </w:r>
      <w:r w:rsidRPr="00D22FFC">
        <w:rPr>
          <w:rFonts w:ascii="Junicode" w:hAnsi="Junicode"/>
        </w:rPr>
        <w:t>Femmes (Tutelle des), à qui donnée chez les Romains, et chez les Germains, quand finissait.</w:t>
      </w:r>
    </w:p>
    <w:p w:rsidR="00A97996" w:rsidRDefault="00D22FFC" w:rsidP="00D22FFC">
      <w:pPr>
        <w:pStyle w:val="Paragraphedeliste"/>
        <w:ind w:left="0" w:firstLine="708"/>
        <w:rPr>
          <w:rFonts w:ascii="Junicode" w:hAnsi="Junicode"/>
        </w:rPr>
      </w:pPr>
      <w:r w:rsidRPr="00D22FFC">
        <w:rPr>
          <w:rFonts w:ascii="Junicode" w:hAnsi="Junicode"/>
        </w:rPr>
        <w:t>– (Débauches des) prétexte aux accusations contre les Grands.</w:t>
      </w:r>
      <w:r>
        <w:rPr>
          <w:rFonts w:ascii="Junicode" w:hAnsi="Junicode"/>
        </w:rPr>
        <w:t xml:space="preserve"> […] </w:t>
      </w:r>
    </w:p>
    <w:p w:rsidR="001573AB" w:rsidRDefault="001573AB" w:rsidP="008744F9">
      <w:pPr>
        <w:pStyle w:val="Paragraphedeliste"/>
        <w:ind w:left="0"/>
        <w:rPr>
          <w:rFonts w:ascii="Junicode" w:hAnsi="Junicode"/>
        </w:rPr>
      </w:pPr>
      <w:r>
        <w:rPr>
          <w:rFonts w:ascii="Times New Roman" w:hAnsi="Times New Roman"/>
          <w:iCs/>
        </w:rPr>
        <w:t>[1758]</w:t>
      </w:r>
      <w:r w:rsidRPr="00E30853">
        <w:rPr>
          <w:rFonts w:ascii="Times New Roman" w:hAnsi="Times New Roman"/>
          <w:i/>
        </w:rPr>
        <w:t xml:space="preserve"> </w:t>
      </w:r>
      <w:r w:rsidRPr="00E30853">
        <w:rPr>
          <w:rFonts w:ascii="Times New Roman" w:hAnsi="Times New Roman"/>
          <w:iCs/>
        </w:rPr>
        <w:t>Pourquoi Tibère ne voulut pas défendre à celles des gouverneurs d’aller porter leurs dérèglements dans les provinces, VII, 4. Leur fécondité à la Chine</w:t>
      </w:r>
      <w:r>
        <w:rPr>
          <w:rFonts w:ascii="Times New Roman" w:hAnsi="Times New Roman"/>
          <w:iCs/>
        </w:rPr>
        <w:t xml:space="preserve"> […] </w:t>
      </w:r>
    </w:p>
    <w:p w:rsidR="00A97996" w:rsidRDefault="001573AB" w:rsidP="008744F9">
      <w:pPr>
        <w:pStyle w:val="Paragraphedeliste"/>
        <w:ind w:left="0"/>
        <w:rPr>
          <w:rFonts w:ascii="Junicode" w:hAnsi="Junicode"/>
        </w:rPr>
      </w:pPr>
      <w:r>
        <w:rPr>
          <w:rFonts w:ascii="Junicode" w:hAnsi="Junicode"/>
        </w:rPr>
        <w:t>[1777?</w:t>
      </w:r>
      <w:r w:rsidR="00D22FFC">
        <w:rPr>
          <w:rFonts w:ascii="Junicode" w:hAnsi="Junicode"/>
        </w:rPr>
        <w:t>-2024</w:t>
      </w:r>
      <w:r>
        <w:rPr>
          <w:rFonts w:ascii="Junicode" w:hAnsi="Junicode"/>
        </w:rPr>
        <w:t xml:space="preserve">] </w:t>
      </w:r>
      <w:r w:rsidR="00A97996" w:rsidRPr="00A97996">
        <w:rPr>
          <w:rFonts w:ascii="Junicode" w:hAnsi="Junicode"/>
          <w:i/>
          <w:iCs/>
        </w:rPr>
        <w:t>Leur caractère</w:t>
      </w:r>
      <w:r w:rsidR="00897233">
        <w:rPr>
          <w:rFonts w:ascii="Junicode" w:hAnsi="Junicode"/>
          <w:i/>
          <w:iCs/>
        </w:rPr>
        <w:t> </w:t>
      </w:r>
      <w:r w:rsidR="00A97996" w:rsidRPr="00A97996">
        <w:rPr>
          <w:rFonts w:ascii="Junicode" w:hAnsi="Junicode"/>
          <w:i/>
          <w:iCs/>
        </w:rPr>
        <w:t>; leur influence sur les mœurs</w:t>
      </w:r>
      <w:r w:rsidR="00A97996" w:rsidRPr="00A97996">
        <w:rPr>
          <w:rFonts w:ascii="Junicode" w:hAnsi="Junicode"/>
        </w:rPr>
        <w:t>. Elles sont capricieuses, indiscrètes, jalouses, légères, intrigantes</w:t>
      </w:r>
      <w:r>
        <w:rPr>
          <w:rFonts w:ascii="Junicode" w:hAnsi="Junicode"/>
        </w:rPr>
        <w:t> </w:t>
      </w:r>
      <w:r w:rsidR="00A97996" w:rsidRPr="00A97996">
        <w:rPr>
          <w:rFonts w:ascii="Junicode" w:hAnsi="Junicode"/>
        </w:rPr>
        <w:t>; leurs petites âmes ont l'art d'intéresser celles des hommes. Si tous ces vices étaient en liberté dans un État despotique, il n'y a point de mari, point de père de famille qui pût y être tranquille</w:t>
      </w:r>
      <w:r>
        <w:rPr>
          <w:rFonts w:ascii="Junicode" w:hAnsi="Junicode"/>
        </w:rPr>
        <w:t> </w:t>
      </w:r>
      <w:r w:rsidR="00A97996" w:rsidRPr="00A97996">
        <w:rPr>
          <w:rFonts w:ascii="Junicode" w:hAnsi="Junicode"/>
        </w:rPr>
        <w:t>; on y verrait couler des flots de sang, VII, 9 ; XVI, 9.</w:t>
      </w:r>
    </w:p>
    <w:p w:rsidR="00642819" w:rsidRDefault="00642819" w:rsidP="008744F9">
      <w:pPr>
        <w:pStyle w:val="Paragraphedeliste"/>
        <w:ind w:left="0"/>
        <w:rPr>
          <w:rFonts w:ascii="Junicode" w:hAnsi="Junicode"/>
        </w:rPr>
      </w:pPr>
    </w:p>
    <w:p w:rsidR="00D22FFC" w:rsidRDefault="00D22FFC" w:rsidP="00D22FFC">
      <w:pPr>
        <w:pStyle w:val="Paragraphedeliste"/>
        <w:ind w:left="0"/>
        <w:rPr>
          <w:rFonts w:ascii="Junicode" w:hAnsi="Junicode"/>
        </w:rPr>
      </w:pPr>
      <w:r>
        <w:rPr>
          <w:rFonts w:ascii="Junicode" w:hAnsi="Junicode"/>
        </w:rPr>
        <w:t>4.</w:t>
      </w:r>
      <w:r w:rsidR="00CB4717">
        <w:rPr>
          <w:rFonts w:ascii="Junicode" w:hAnsi="Junicode"/>
        </w:rPr>
        <w:t>4</w:t>
      </w:r>
      <w:r>
        <w:rPr>
          <w:rFonts w:ascii="Junicode" w:hAnsi="Junicode"/>
        </w:rPr>
        <w:t>.</w:t>
      </w:r>
      <w:r w:rsidR="00CB4717">
        <w:rPr>
          <w:rFonts w:ascii="Junicode" w:hAnsi="Junicode"/>
        </w:rPr>
        <w:t>a</w:t>
      </w:r>
      <w:r>
        <w:rPr>
          <w:rFonts w:ascii="Junicode" w:hAnsi="Junicode"/>
        </w:rPr>
        <w:t xml:space="preserve">. </w:t>
      </w:r>
      <w:r w:rsidRPr="00CB4717">
        <w:rPr>
          <w:rFonts w:ascii="Junicode" w:hAnsi="Junicode"/>
          <w:b/>
          <w:bCs/>
        </w:rPr>
        <w:t>Table des matières.</w:t>
      </w:r>
      <w:r w:rsidRPr="00CB4717">
        <w:rPr>
          <w:rFonts w:ascii="Junicode" w:hAnsi="Junicode"/>
          <w:b/>
          <w:bCs/>
          <w:i/>
          <w:iCs/>
        </w:rPr>
        <w:t xml:space="preserve"> </w:t>
      </w:r>
      <w:r w:rsidRPr="00A97996">
        <w:rPr>
          <w:rFonts w:ascii="Junicode" w:hAnsi="Junicode"/>
          <w:i/>
          <w:iCs/>
        </w:rPr>
        <w:t>Femmes.</w:t>
      </w:r>
      <w:r>
        <w:rPr>
          <w:rFonts w:ascii="Junicode" w:hAnsi="Junicode"/>
        </w:rPr>
        <w:t xml:space="preserve"> </w:t>
      </w:r>
    </w:p>
    <w:p w:rsidR="000A2C27" w:rsidRPr="008744F9" w:rsidRDefault="00D22FFC" w:rsidP="008744F9">
      <w:pPr>
        <w:pStyle w:val="Paragraphedeliste"/>
        <w:ind w:left="0"/>
        <w:rPr>
          <w:rFonts w:ascii="Junicode" w:hAnsi="Junicode"/>
        </w:rPr>
      </w:pPr>
      <w:r>
        <w:rPr>
          <w:rFonts w:ascii="Junicode" w:hAnsi="Junicode"/>
        </w:rPr>
        <w:t>[1758</w:t>
      </w:r>
      <w:r w:rsidR="002E010B">
        <w:rPr>
          <w:rFonts w:ascii="Junicode" w:hAnsi="Junicode"/>
        </w:rPr>
        <w:t xml:space="preserve"> et </w:t>
      </w:r>
      <w:proofErr w:type="spellStart"/>
      <w:r w:rsidR="002E010B">
        <w:rPr>
          <w:rFonts w:ascii="Junicode" w:hAnsi="Junicode"/>
        </w:rPr>
        <w:t>suiv</w:t>
      </w:r>
      <w:proofErr w:type="spellEnd"/>
      <w:r w:rsidR="002E010B">
        <w:rPr>
          <w:rFonts w:ascii="Junicode" w:hAnsi="Junicode"/>
        </w:rPr>
        <w:t>.</w:t>
      </w:r>
      <w:r>
        <w:rPr>
          <w:rFonts w:ascii="Junicode" w:hAnsi="Junicode"/>
        </w:rPr>
        <w:t>]</w:t>
      </w:r>
      <w:r w:rsidR="00AE24A0" w:rsidRPr="008744F9">
        <w:rPr>
          <w:rFonts w:ascii="Junicode" w:hAnsi="Junicode"/>
        </w:rPr>
        <w:t>« Femmes. Étaient autrefois soumises à la juridiction ecclésiastique, XXVIII, 40.</w:t>
      </w:r>
    </w:p>
    <w:p w:rsidR="00AE24A0" w:rsidRPr="000A2C27" w:rsidRDefault="008744F9" w:rsidP="008744F9">
      <w:pPr>
        <w:pStyle w:val="Paragraphedeliste"/>
        <w:ind w:left="0"/>
        <w:rPr>
          <w:rFonts w:ascii="Junicode" w:hAnsi="Junicode"/>
        </w:rPr>
      </w:pPr>
      <w:r>
        <w:rPr>
          <w:rFonts w:ascii="Junicode" w:hAnsi="Junicode"/>
        </w:rPr>
        <w:t>4.</w:t>
      </w:r>
      <w:r w:rsidR="00CB4717">
        <w:rPr>
          <w:rFonts w:ascii="Junicode" w:hAnsi="Junicode"/>
        </w:rPr>
        <w:t>4</w:t>
      </w:r>
      <w:r>
        <w:rPr>
          <w:rFonts w:ascii="Junicode" w:hAnsi="Junicode"/>
        </w:rPr>
        <w:t xml:space="preserve">.b. </w:t>
      </w:r>
      <w:r w:rsidR="006949EC" w:rsidRPr="000A2C27">
        <w:rPr>
          <w:rFonts w:ascii="Junicode" w:hAnsi="Junicode"/>
          <w:i/>
          <w:iCs/>
        </w:rPr>
        <w:t>EL</w:t>
      </w:r>
      <w:r w:rsidR="006949EC" w:rsidRPr="000A2C27">
        <w:rPr>
          <w:rFonts w:ascii="Junicode" w:hAnsi="Junicode"/>
        </w:rPr>
        <w:t xml:space="preserve">, </w:t>
      </w:r>
      <w:r w:rsidR="00AE24A0" w:rsidRPr="000A2C27">
        <w:rPr>
          <w:rFonts w:ascii="Junicode" w:hAnsi="Junicode"/>
        </w:rPr>
        <w:t xml:space="preserve">XXVIII, 40 : « les bornes de la juridiction ecclésiastique et de la séculière étaient dans ces temps-là très peu connues : il y avait des gens qui plaidaient indifféremment dans les deux cours*. » </w:t>
      </w:r>
    </w:p>
    <w:p w:rsidR="00AE24A0" w:rsidRDefault="00CB4717" w:rsidP="000A2C27">
      <w:pPr>
        <w:rPr>
          <w:rFonts w:ascii="Junicode" w:hAnsi="Junicode"/>
        </w:rPr>
      </w:pPr>
      <w:r>
        <w:rPr>
          <w:rFonts w:ascii="Junicode" w:hAnsi="Junicode"/>
        </w:rPr>
        <w:t xml:space="preserve">[note </w:t>
      </w:r>
      <w:r w:rsidR="00AE24A0" w:rsidRPr="006949EC">
        <w:rPr>
          <w:rFonts w:ascii="Junicode" w:hAnsi="Junicode"/>
        </w:rPr>
        <w:t>*</w:t>
      </w:r>
      <w:r>
        <w:rPr>
          <w:rFonts w:ascii="Junicode" w:hAnsi="Junicode"/>
        </w:rPr>
        <w:t>]</w:t>
      </w:r>
      <w:r w:rsidR="00AE24A0" w:rsidRPr="006949EC">
        <w:rPr>
          <w:rFonts w:ascii="Junicode" w:hAnsi="Junicode"/>
        </w:rPr>
        <w:t>Les femmes veuves, les croisés, ceux qui tenaient les biens des églises pour raison de ces biens. </w:t>
      </w:r>
    </w:p>
    <w:p w:rsidR="00642819" w:rsidRDefault="00642819" w:rsidP="000A2C27">
      <w:pPr>
        <w:rPr>
          <w:rFonts w:ascii="Junicode" w:hAnsi="Junicode"/>
        </w:rPr>
      </w:pPr>
    </w:p>
    <w:p w:rsidR="00C26BE3" w:rsidRPr="00006D58" w:rsidRDefault="00642819" w:rsidP="00642819">
      <w:pPr>
        <w:rPr>
          <w:rFonts w:ascii="Junicode" w:hAnsi="Junicode"/>
          <w:i/>
          <w:iCs/>
        </w:rPr>
      </w:pPr>
      <w:r>
        <w:rPr>
          <w:rFonts w:ascii="Junicode" w:hAnsi="Junicode"/>
        </w:rPr>
        <w:t xml:space="preserve">4.5. </w:t>
      </w:r>
      <w:r w:rsidRPr="00CB4717">
        <w:rPr>
          <w:rFonts w:ascii="Junicode" w:hAnsi="Junicode"/>
          <w:b/>
          <w:bCs/>
        </w:rPr>
        <w:t>Table des matières</w:t>
      </w:r>
      <w:r w:rsidR="002E010B">
        <w:rPr>
          <w:rFonts w:ascii="Junicode" w:hAnsi="Junicode"/>
          <w:b/>
          <w:bCs/>
        </w:rPr>
        <w:t xml:space="preserve"> 1758</w:t>
      </w:r>
      <w:r w:rsidRPr="00CB4717">
        <w:rPr>
          <w:rFonts w:ascii="Junicode" w:hAnsi="Junicode"/>
          <w:b/>
          <w:bCs/>
        </w:rPr>
        <w:t>.</w:t>
      </w:r>
      <w:r w:rsidR="00006D58">
        <w:rPr>
          <w:rFonts w:ascii="Junicode" w:hAnsi="Junicode"/>
          <w:b/>
          <w:bCs/>
        </w:rPr>
        <w:t xml:space="preserve"> </w:t>
      </w:r>
      <w:r w:rsidR="00006D58" w:rsidRPr="00006D58">
        <w:rPr>
          <w:rFonts w:ascii="Junicode" w:hAnsi="Junicode"/>
          <w:i/>
          <w:iCs/>
        </w:rPr>
        <w:t>Français</w:t>
      </w:r>
    </w:p>
    <w:p w:rsidR="000A2C27" w:rsidRDefault="00006D58" w:rsidP="00006D58">
      <w:pPr>
        <w:rPr>
          <w:rFonts w:ascii="Junicode" w:hAnsi="Junicode"/>
        </w:rPr>
      </w:pPr>
      <w:r w:rsidRPr="00006D58">
        <w:rPr>
          <w:rFonts w:ascii="Junicode" w:hAnsi="Junicode"/>
        </w:rPr>
        <w:t xml:space="preserve">[…] </w:t>
      </w:r>
      <w:r w:rsidRPr="00006D58">
        <w:rPr>
          <w:rFonts w:ascii="Junicode" w:hAnsi="Junicode"/>
          <w:iCs/>
        </w:rPr>
        <w:t xml:space="preserve">« Mauvaise </w:t>
      </w:r>
      <w:r w:rsidRPr="00006D58">
        <w:rPr>
          <w:rFonts w:ascii="Junicode" w:hAnsi="Junicode"/>
        </w:rPr>
        <w:t>loi maritime des Français », XXVI, 25</w:t>
      </w:r>
      <w:r>
        <w:rPr>
          <w:rFonts w:ascii="Junicode" w:hAnsi="Junicode"/>
        </w:rPr>
        <w:t>.</w:t>
      </w:r>
    </w:p>
    <w:p w:rsidR="00006D58" w:rsidRPr="00C26BE3" w:rsidRDefault="00006D58" w:rsidP="00006D58"/>
    <w:sectPr w:rsidR="00006D58" w:rsidRPr="00C26BE3">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E27FE" w:rsidRDefault="001E27FE" w:rsidP="000B4696">
      <w:r>
        <w:separator/>
      </w:r>
    </w:p>
  </w:endnote>
  <w:endnote w:type="continuationSeparator" w:id="0">
    <w:p w:rsidR="001E27FE" w:rsidRDefault="001E27FE" w:rsidP="000B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Junicode">
    <w:altName w:val="Junicode"/>
    <w:panose1 w:val="02000503000000000000"/>
    <w:charset w:val="00"/>
    <w:family w:val="auto"/>
    <w:pitch w:val="variable"/>
    <w:sig w:usb0="E40000FF" w:usb1="5000E4FF" w:usb2="00408004" w:usb3="00000000" w:csb0="8000019B" w:csb1="00000000"/>
  </w:font>
  <w:font w:name="Times">
    <w:altName w:val="Sylfaen"/>
    <w:panose1 w:val="00000500000000020000"/>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316940257"/>
      <w:docPartObj>
        <w:docPartGallery w:val="Page Numbers (Bottom of Page)"/>
        <w:docPartUnique/>
      </w:docPartObj>
    </w:sdtPr>
    <w:sdtContent>
      <w:p w:rsidR="00AE00C9" w:rsidRDefault="00AE00C9" w:rsidP="00FD1F3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AE00C9" w:rsidRDefault="00AE00C9" w:rsidP="00AE00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448791899"/>
      <w:docPartObj>
        <w:docPartGallery w:val="Page Numbers (Bottom of Page)"/>
        <w:docPartUnique/>
      </w:docPartObj>
    </w:sdtPr>
    <w:sdtContent>
      <w:p w:rsidR="00AE00C9" w:rsidRDefault="00AE00C9" w:rsidP="00FD1F3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AE00C9" w:rsidRDefault="00AE00C9" w:rsidP="00AE00C9">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299B" w:rsidRDefault="0020299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E27FE" w:rsidRDefault="001E27FE" w:rsidP="000B4696">
      <w:r>
        <w:separator/>
      </w:r>
    </w:p>
  </w:footnote>
  <w:footnote w:type="continuationSeparator" w:id="0">
    <w:p w:rsidR="001E27FE" w:rsidRDefault="001E27FE" w:rsidP="000B4696">
      <w:r>
        <w:continuationSeparator/>
      </w:r>
    </w:p>
  </w:footnote>
  <w:footnote w:id="1">
    <w:p w:rsidR="000B4696" w:rsidRPr="001844AF" w:rsidRDefault="000B4696" w:rsidP="000B4696">
      <w:pPr>
        <w:pStyle w:val="Notedebasdepage"/>
        <w:rPr>
          <w:sz w:val="22"/>
          <w:szCs w:val="22"/>
        </w:rPr>
      </w:pPr>
      <w:r w:rsidRPr="001844AF">
        <w:rPr>
          <w:rStyle w:val="Appelnotedebasdep"/>
          <w:sz w:val="22"/>
          <w:szCs w:val="22"/>
        </w:rPr>
        <w:footnoteRef/>
      </w:r>
      <w:r w:rsidRPr="001844AF">
        <w:rPr>
          <w:sz w:val="22"/>
          <w:szCs w:val="22"/>
        </w:rPr>
        <w:t xml:space="preserve"> </w:t>
      </w:r>
      <w:r w:rsidRPr="001844AF">
        <w:rPr>
          <w:sz w:val="22"/>
          <w:szCs w:val="22"/>
        </w:rPr>
        <w:tab/>
      </w:r>
      <w:r>
        <w:rPr>
          <w:sz w:val="22"/>
          <w:szCs w:val="22"/>
        </w:rPr>
        <w:t>« </w:t>
      </w:r>
      <w:r w:rsidRPr="001844AF">
        <w:rPr>
          <w:i/>
          <w:iCs/>
          <w:sz w:val="22"/>
          <w:szCs w:val="22"/>
        </w:rPr>
        <w:t>Eorum qui de se statuebant humabantur corpora, manebant testamenta, pretium festinandi</w:t>
      </w:r>
      <w:r>
        <w:rPr>
          <w:sz w:val="22"/>
          <w:szCs w:val="22"/>
        </w:rPr>
        <w:t> »</w:t>
      </w:r>
      <w:r w:rsidRPr="001844AF">
        <w:rPr>
          <w:sz w:val="22"/>
          <w:szCs w:val="22"/>
        </w:rPr>
        <w:t xml:space="preserve">. Tacite, </w:t>
      </w:r>
      <w:r w:rsidRPr="001844AF">
        <w:rPr>
          <w:i/>
          <w:iCs/>
          <w:sz w:val="22"/>
          <w:szCs w:val="22"/>
        </w:rPr>
        <w:t>Annales</w:t>
      </w:r>
      <w:r w:rsidRPr="001844AF">
        <w:rPr>
          <w:sz w:val="22"/>
          <w:szCs w:val="22"/>
        </w:rPr>
        <w:t>, livre VI</w:t>
      </w:r>
      <w:r>
        <w:rPr>
          <w:sz w:val="22"/>
          <w:szCs w:val="22"/>
        </w:rPr>
        <w:t xml:space="preserve"> </w:t>
      </w:r>
      <w:r w:rsidRPr="001844AF">
        <w:rPr>
          <w:sz w:val="22"/>
          <w:szCs w:val="22"/>
        </w:rPr>
        <w:t>[« le corps de ceux qui disposaient d’eux-mêmes était inhumé, leur testament respecté : il était utile de se hâter »</w:t>
      </w:r>
      <w:r w:rsidR="007C1F85">
        <w:rPr>
          <w:sz w:val="22"/>
          <w:szCs w:val="22"/>
        </w:rPr>
        <w:t xml:space="preserve"> ; citation reprise dans </w:t>
      </w:r>
      <w:r w:rsidR="007C1F85" w:rsidRPr="007C1F85">
        <w:rPr>
          <w:rFonts w:eastAsia="MS Mincho" w:cs="Times New Roman"/>
          <w:i/>
          <w:szCs w:val="22"/>
        </w:rPr>
        <w:t>L’Esprit des lois</w:t>
      </w:r>
      <w:r w:rsidR="007C1F85">
        <w:rPr>
          <w:sz w:val="22"/>
          <w:szCs w:val="22"/>
        </w:rPr>
        <w:t>, XXIX, 9</w:t>
      </w:r>
      <w:r w:rsidRPr="001844AF">
        <w:rPr>
          <w:sz w:val="22"/>
          <w:szCs w:val="22"/>
        </w:rPr>
        <w:t>]</w:t>
      </w:r>
      <w:r>
        <w:rPr>
          <w:sz w:val="22"/>
          <w:szCs w:val="22"/>
        </w:rPr>
        <w:t>.</w:t>
      </w:r>
    </w:p>
  </w:footnote>
  <w:footnote w:id="2">
    <w:p w:rsidR="000B4696" w:rsidRPr="001844AF" w:rsidRDefault="000B4696" w:rsidP="000B4696">
      <w:pPr>
        <w:pStyle w:val="Notedebasdepage"/>
        <w:rPr>
          <w:sz w:val="22"/>
          <w:szCs w:val="22"/>
        </w:rPr>
      </w:pPr>
      <w:r w:rsidRPr="001844AF">
        <w:rPr>
          <w:rStyle w:val="Appelnotedebasdep"/>
          <w:sz w:val="22"/>
          <w:szCs w:val="22"/>
        </w:rPr>
        <w:footnoteRef/>
      </w:r>
      <w:r w:rsidRPr="001844AF">
        <w:rPr>
          <w:sz w:val="22"/>
          <w:szCs w:val="22"/>
        </w:rPr>
        <w:t xml:space="preserve"> </w:t>
      </w:r>
      <w:r w:rsidRPr="001844AF">
        <w:rPr>
          <w:sz w:val="22"/>
          <w:szCs w:val="22"/>
        </w:rPr>
        <w:tab/>
        <w:t>Si Charles I</w:t>
      </w:r>
      <w:r w:rsidRPr="001844AF">
        <w:rPr>
          <w:sz w:val="22"/>
          <w:szCs w:val="22"/>
          <w:vertAlign w:val="superscript"/>
        </w:rPr>
        <w:t>er</w:t>
      </w:r>
      <w:r w:rsidRPr="001844AF">
        <w:rPr>
          <w:sz w:val="22"/>
          <w:szCs w:val="22"/>
        </w:rPr>
        <w:t>, si Jacques II avaient vécu dans une religion qui leur eût permis de se tuer, ils n’auraient pas eu à soutenir l’un une telle mort, l’autre une telle vie [</w:t>
      </w:r>
      <w:r w:rsidRPr="00AE7CFD">
        <w:rPr>
          <w:i/>
          <w:iCs/>
          <w:sz w:val="22"/>
          <w:szCs w:val="22"/>
        </w:rPr>
        <w:t>note supprimée dans la 2</w:t>
      </w:r>
      <w:r w:rsidRPr="00AE7CFD">
        <w:rPr>
          <w:i/>
          <w:iCs/>
          <w:sz w:val="22"/>
          <w:szCs w:val="22"/>
          <w:vertAlign w:val="superscript"/>
        </w:rPr>
        <w:t>e</w:t>
      </w:r>
      <w:r w:rsidRPr="00AE7CFD">
        <w:rPr>
          <w:i/>
          <w:iCs/>
          <w:sz w:val="22"/>
          <w:szCs w:val="22"/>
        </w:rPr>
        <w:t xml:space="preserve"> émission de 1734, rétablie seulement en 1758 ; voir aussi le dernier paragraphe</w:t>
      </w:r>
      <w:r w:rsidRPr="001844AF">
        <w:rPr>
          <w:sz w:val="22"/>
          <w:szCs w:val="22"/>
        </w:rPr>
        <w:t>]</w:t>
      </w:r>
      <w:r>
        <w:rPr>
          <w:sz w:val="22"/>
          <w:szCs w:val="22"/>
        </w:rPr>
        <w:t>.</w:t>
      </w:r>
    </w:p>
  </w:footnote>
  <w:footnote w:id="3">
    <w:p w:rsidR="00AE7CFD" w:rsidRDefault="00AE7CFD">
      <w:pPr>
        <w:pStyle w:val="Notedebasdepage"/>
      </w:pPr>
      <w:r>
        <w:rPr>
          <w:rStyle w:val="Appelnotedebasdep"/>
        </w:rPr>
        <w:footnoteRef/>
      </w:r>
      <w:r>
        <w:t xml:space="preserve"> [</w:t>
      </w:r>
      <w:r w:rsidRPr="00AE7CFD">
        <w:rPr>
          <w:i/>
          <w:iCs/>
          <w:sz w:val="22"/>
          <w:szCs w:val="22"/>
        </w:rPr>
        <w:t>Paragraphe supprimé dans la 2</w:t>
      </w:r>
      <w:r w:rsidRPr="00AE7CFD">
        <w:rPr>
          <w:i/>
          <w:iCs/>
          <w:sz w:val="22"/>
          <w:szCs w:val="22"/>
          <w:vertAlign w:val="superscript"/>
        </w:rPr>
        <w:t>e</w:t>
      </w:r>
      <w:r w:rsidRPr="00AE7CFD">
        <w:rPr>
          <w:i/>
          <w:iCs/>
          <w:sz w:val="22"/>
          <w:szCs w:val="22"/>
        </w:rPr>
        <w:t xml:space="preserve"> émission de la première édition et dans l’édition de 1748 (comme la note finale du chapitre</w:t>
      </w:r>
      <w:r w:rsidR="00CB4717">
        <w:rPr>
          <w:i/>
          <w:iCs/>
          <w:sz w:val="22"/>
          <w:szCs w:val="22"/>
        </w:rPr>
        <w:t>)</w:t>
      </w:r>
      <w:r>
        <w:rPr>
          <w:sz w:val="22"/>
          <w:szCs w:val="22"/>
        </w:rPr>
        <w:t>]</w:t>
      </w:r>
      <w:r w:rsidRPr="00111A4A">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299B" w:rsidRDefault="0020299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299B" w:rsidRPr="0020299B" w:rsidRDefault="0020299B">
    <w:pPr>
      <w:pStyle w:val="En-tte"/>
      <w:rPr>
        <w:rFonts w:ascii="Junicode" w:hAnsi="Junicode"/>
        <w:i/>
        <w:iCs/>
      </w:rPr>
    </w:pPr>
    <w:r w:rsidRPr="0020299B">
      <w:rPr>
        <w:rFonts w:ascii="Junicode" w:hAnsi="Junicode"/>
        <w:i/>
        <w:iCs/>
      </w:rPr>
      <w:t>Séminaire Montesquieu 2024-2025. Société Montesquieu et IHRIM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299B" w:rsidRDefault="0020299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0739A"/>
    <w:multiLevelType w:val="hybridMultilevel"/>
    <w:tmpl w:val="BA8E51C0"/>
    <w:lvl w:ilvl="0" w:tplc="2C620E60">
      <w:start w:val="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9254C4"/>
    <w:multiLevelType w:val="multilevel"/>
    <w:tmpl w:val="7C4AC2C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B9A475A"/>
    <w:multiLevelType w:val="multilevel"/>
    <w:tmpl w:val="1AEE92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24C018E"/>
    <w:multiLevelType w:val="multilevel"/>
    <w:tmpl w:val="5A0E3A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33C6A82"/>
    <w:multiLevelType w:val="hybridMultilevel"/>
    <w:tmpl w:val="0F1053D2"/>
    <w:lvl w:ilvl="0" w:tplc="CFA21410">
      <w:start w:val="4"/>
      <w:numFmt w:val="bullet"/>
      <w:lvlText w:val="-"/>
      <w:lvlJc w:val="left"/>
      <w:pPr>
        <w:ind w:left="1068" w:hanging="360"/>
      </w:pPr>
      <w:rPr>
        <w:rFonts w:ascii="Junicode" w:eastAsiaTheme="minorHAnsi" w:hAnsi="Junicode"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971132112">
    <w:abstractNumId w:val="2"/>
  </w:num>
  <w:num w:numId="2" w16cid:durableId="1874492150">
    <w:abstractNumId w:val="3"/>
  </w:num>
  <w:num w:numId="3" w16cid:durableId="1769034576">
    <w:abstractNumId w:val="4"/>
  </w:num>
  <w:num w:numId="4" w16cid:durableId="662516630">
    <w:abstractNumId w:val="1"/>
  </w:num>
  <w:num w:numId="5" w16cid:durableId="1538080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267"/>
    <w:rsid w:val="00006D58"/>
    <w:rsid w:val="000326F5"/>
    <w:rsid w:val="00053B8D"/>
    <w:rsid w:val="000931F0"/>
    <w:rsid w:val="000A2C27"/>
    <w:rsid w:val="000B3EEE"/>
    <w:rsid w:val="000B4696"/>
    <w:rsid w:val="001047BB"/>
    <w:rsid w:val="001573AB"/>
    <w:rsid w:val="00171434"/>
    <w:rsid w:val="00190267"/>
    <w:rsid w:val="00197622"/>
    <w:rsid w:val="001C5817"/>
    <w:rsid w:val="001D54C7"/>
    <w:rsid w:val="001E27FE"/>
    <w:rsid w:val="0020299B"/>
    <w:rsid w:val="00204821"/>
    <w:rsid w:val="00214AA5"/>
    <w:rsid w:val="00224D69"/>
    <w:rsid w:val="00232233"/>
    <w:rsid w:val="00241237"/>
    <w:rsid w:val="00260C83"/>
    <w:rsid w:val="002636E6"/>
    <w:rsid w:val="002A29DF"/>
    <w:rsid w:val="002C2131"/>
    <w:rsid w:val="002E010B"/>
    <w:rsid w:val="00365C7D"/>
    <w:rsid w:val="00385FD4"/>
    <w:rsid w:val="003B2476"/>
    <w:rsid w:val="003C5637"/>
    <w:rsid w:val="0046681D"/>
    <w:rsid w:val="00472A44"/>
    <w:rsid w:val="005126BE"/>
    <w:rsid w:val="005817CD"/>
    <w:rsid w:val="00584575"/>
    <w:rsid w:val="005A08FD"/>
    <w:rsid w:val="005A3CE0"/>
    <w:rsid w:val="005D5403"/>
    <w:rsid w:val="005E3F81"/>
    <w:rsid w:val="0061723F"/>
    <w:rsid w:val="006247CE"/>
    <w:rsid w:val="00642819"/>
    <w:rsid w:val="00675937"/>
    <w:rsid w:val="006949EC"/>
    <w:rsid w:val="00701CEE"/>
    <w:rsid w:val="00721430"/>
    <w:rsid w:val="007303F1"/>
    <w:rsid w:val="0074026A"/>
    <w:rsid w:val="007C1F85"/>
    <w:rsid w:val="008133F8"/>
    <w:rsid w:val="008744F9"/>
    <w:rsid w:val="00893AA2"/>
    <w:rsid w:val="00897233"/>
    <w:rsid w:val="009460B2"/>
    <w:rsid w:val="009976F2"/>
    <w:rsid w:val="009C0376"/>
    <w:rsid w:val="00A97996"/>
    <w:rsid w:val="00AB777F"/>
    <w:rsid w:val="00AD6399"/>
    <w:rsid w:val="00AE00C9"/>
    <w:rsid w:val="00AE24A0"/>
    <w:rsid w:val="00AE3556"/>
    <w:rsid w:val="00AE7CFD"/>
    <w:rsid w:val="00AF3040"/>
    <w:rsid w:val="00AF4FF9"/>
    <w:rsid w:val="00B50164"/>
    <w:rsid w:val="00B53489"/>
    <w:rsid w:val="00B70774"/>
    <w:rsid w:val="00BA7143"/>
    <w:rsid w:val="00BB1B63"/>
    <w:rsid w:val="00BD6DFA"/>
    <w:rsid w:val="00C26BE3"/>
    <w:rsid w:val="00C7670B"/>
    <w:rsid w:val="00CB4717"/>
    <w:rsid w:val="00D17952"/>
    <w:rsid w:val="00D22FFC"/>
    <w:rsid w:val="00D25A2A"/>
    <w:rsid w:val="00D84963"/>
    <w:rsid w:val="00D85388"/>
    <w:rsid w:val="00DC0673"/>
    <w:rsid w:val="00E128CA"/>
    <w:rsid w:val="00E175CC"/>
    <w:rsid w:val="00E23454"/>
    <w:rsid w:val="00E42609"/>
    <w:rsid w:val="00E51083"/>
    <w:rsid w:val="00E61AAD"/>
    <w:rsid w:val="00EA12BF"/>
    <w:rsid w:val="00EB5271"/>
    <w:rsid w:val="00EB7467"/>
    <w:rsid w:val="00EF50BB"/>
    <w:rsid w:val="00F0189E"/>
    <w:rsid w:val="00F42601"/>
    <w:rsid w:val="00F434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C8D1"/>
  <w15:chartTrackingRefBased/>
  <w15:docId w15:val="{15F63145-5351-F641-B9F6-1AA34EB33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AD6399"/>
    <w:rPr>
      <w:rFonts w:ascii="Junicode" w:hAnsi="Junicode"/>
      <w:szCs w:val="20"/>
    </w:rPr>
  </w:style>
  <w:style w:type="character" w:customStyle="1" w:styleId="NotedebasdepageCar">
    <w:name w:val="Note de bas de page Car"/>
    <w:basedOn w:val="Policepardfaut"/>
    <w:link w:val="Notedebasdepage"/>
    <w:uiPriority w:val="99"/>
    <w:rsid w:val="00AD6399"/>
    <w:rPr>
      <w:rFonts w:ascii="Junicode" w:hAnsi="Junicode"/>
      <w:szCs w:val="20"/>
    </w:rPr>
  </w:style>
  <w:style w:type="paragraph" w:styleId="Paragraphedeliste">
    <w:name w:val="List Paragraph"/>
    <w:basedOn w:val="Normal"/>
    <w:uiPriority w:val="34"/>
    <w:qFormat/>
    <w:rsid w:val="00190267"/>
    <w:pPr>
      <w:ind w:left="720"/>
      <w:contextualSpacing/>
    </w:pPr>
  </w:style>
  <w:style w:type="character" w:styleId="Accentuation">
    <w:name w:val="Emphasis"/>
    <w:basedOn w:val="Policepardfaut"/>
    <w:uiPriority w:val="20"/>
    <w:qFormat/>
    <w:rsid w:val="000B4696"/>
    <w:rPr>
      <w:i/>
      <w:iCs/>
    </w:rPr>
  </w:style>
  <w:style w:type="character" w:styleId="Appelnotedebasdep">
    <w:name w:val="footnote reference"/>
    <w:autoRedefine/>
    <w:qFormat/>
    <w:rsid w:val="000B4696"/>
    <w:rPr>
      <w:b/>
      <w:color w:val="C00000"/>
      <w:position w:val="0"/>
      <w:sz w:val="32"/>
      <w:vertAlign w:val="superscript"/>
    </w:rPr>
  </w:style>
  <w:style w:type="paragraph" w:customStyle="1" w:styleId="citation">
    <w:name w:val="citation"/>
    <w:basedOn w:val="Normal"/>
    <w:rsid w:val="00241237"/>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ienhypertexte">
    <w:name w:val="Hyperlink"/>
    <w:basedOn w:val="Policepardfaut"/>
    <w:uiPriority w:val="99"/>
    <w:unhideWhenUsed/>
    <w:rsid w:val="000A2C27"/>
    <w:rPr>
      <w:color w:val="0563C1" w:themeColor="hyperlink"/>
      <w:u w:val="single"/>
    </w:rPr>
  </w:style>
  <w:style w:type="character" w:styleId="Mentionnonrsolue">
    <w:name w:val="Unresolved Mention"/>
    <w:basedOn w:val="Policepardfaut"/>
    <w:uiPriority w:val="99"/>
    <w:semiHidden/>
    <w:unhideWhenUsed/>
    <w:rsid w:val="000A2C27"/>
    <w:rPr>
      <w:color w:val="605E5C"/>
      <w:shd w:val="clear" w:color="auto" w:fill="E1DFDD"/>
    </w:rPr>
  </w:style>
  <w:style w:type="character" w:styleId="Marquedecommentaire">
    <w:name w:val="annotation reference"/>
    <w:uiPriority w:val="99"/>
    <w:semiHidden/>
    <w:unhideWhenUsed/>
    <w:rsid w:val="002E010B"/>
    <w:rPr>
      <w:sz w:val="16"/>
      <w:szCs w:val="16"/>
    </w:rPr>
  </w:style>
  <w:style w:type="paragraph" w:styleId="Commentaire">
    <w:name w:val="annotation text"/>
    <w:basedOn w:val="Normal"/>
    <w:link w:val="CommentaireCar"/>
    <w:uiPriority w:val="99"/>
    <w:semiHidden/>
    <w:unhideWhenUsed/>
    <w:rsid w:val="002E010B"/>
    <w:pPr>
      <w:ind w:firstLine="360"/>
    </w:pPr>
    <w:rPr>
      <w:rFonts w:ascii="Times" w:eastAsia="Times New Roman" w:hAnsi="Times" w:cs="Times New Roman"/>
      <w:kern w:val="0"/>
      <w:sz w:val="20"/>
      <w:szCs w:val="20"/>
      <w:lang w:eastAsia="fr-FR"/>
      <w14:ligatures w14:val="none"/>
    </w:rPr>
  </w:style>
  <w:style w:type="character" w:customStyle="1" w:styleId="CommentaireCar">
    <w:name w:val="Commentaire Car"/>
    <w:basedOn w:val="Policepardfaut"/>
    <w:link w:val="Commentaire"/>
    <w:uiPriority w:val="99"/>
    <w:semiHidden/>
    <w:rsid w:val="002E010B"/>
    <w:rPr>
      <w:rFonts w:ascii="Times" w:eastAsia="Times New Roman" w:hAnsi="Times" w:cs="Times New Roman"/>
      <w:kern w:val="0"/>
      <w:sz w:val="20"/>
      <w:szCs w:val="20"/>
      <w:lang w:eastAsia="fr-FR"/>
      <w14:ligatures w14:val="none"/>
    </w:rPr>
  </w:style>
  <w:style w:type="paragraph" w:styleId="Pieddepage">
    <w:name w:val="footer"/>
    <w:basedOn w:val="Normal"/>
    <w:link w:val="PieddepageCar"/>
    <w:uiPriority w:val="99"/>
    <w:unhideWhenUsed/>
    <w:rsid w:val="00AE00C9"/>
    <w:pPr>
      <w:tabs>
        <w:tab w:val="center" w:pos="4536"/>
        <w:tab w:val="right" w:pos="9072"/>
      </w:tabs>
    </w:pPr>
  </w:style>
  <w:style w:type="character" w:customStyle="1" w:styleId="PieddepageCar">
    <w:name w:val="Pied de page Car"/>
    <w:basedOn w:val="Policepardfaut"/>
    <w:link w:val="Pieddepage"/>
    <w:uiPriority w:val="99"/>
    <w:rsid w:val="00AE00C9"/>
  </w:style>
  <w:style w:type="character" w:styleId="Numrodepage">
    <w:name w:val="page number"/>
    <w:basedOn w:val="Policepardfaut"/>
    <w:uiPriority w:val="99"/>
    <w:semiHidden/>
    <w:unhideWhenUsed/>
    <w:rsid w:val="00AE00C9"/>
  </w:style>
  <w:style w:type="paragraph" w:styleId="En-tte">
    <w:name w:val="header"/>
    <w:basedOn w:val="Normal"/>
    <w:link w:val="En-tteCar"/>
    <w:uiPriority w:val="99"/>
    <w:unhideWhenUsed/>
    <w:rsid w:val="0020299B"/>
    <w:pPr>
      <w:tabs>
        <w:tab w:val="center" w:pos="4536"/>
        <w:tab w:val="right" w:pos="9072"/>
      </w:tabs>
    </w:pPr>
  </w:style>
  <w:style w:type="character" w:customStyle="1" w:styleId="En-tteCar">
    <w:name w:val="En-tête Car"/>
    <w:basedOn w:val="Policepardfaut"/>
    <w:link w:val="En-tte"/>
    <w:uiPriority w:val="99"/>
    <w:rsid w:val="0020299B"/>
  </w:style>
  <w:style w:type="character" w:styleId="Lienhypertextesuivivisit">
    <w:name w:val="FollowedHyperlink"/>
    <w:basedOn w:val="Policepardfaut"/>
    <w:uiPriority w:val="99"/>
    <w:semiHidden/>
    <w:unhideWhenUsed/>
    <w:rsid w:val="00893A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47190">
      <w:bodyDiv w:val="1"/>
      <w:marLeft w:val="0"/>
      <w:marRight w:val="0"/>
      <w:marTop w:val="0"/>
      <w:marBottom w:val="0"/>
      <w:divBdr>
        <w:top w:val="none" w:sz="0" w:space="0" w:color="auto"/>
        <w:left w:val="none" w:sz="0" w:space="0" w:color="auto"/>
        <w:bottom w:val="none" w:sz="0" w:space="0" w:color="auto"/>
        <w:right w:val="none" w:sz="0" w:space="0" w:color="auto"/>
      </w:divBdr>
      <w:divsChild>
        <w:div w:id="303856825">
          <w:marLeft w:val="0"/>
          <w:marRight w:val="0"/>
          <w:marTop w:val="0"/>
          <w:marBottom w:val="0"/>
          <w:divBdr>
            <w:top w:val="none" w:sz="0" w:space="0" w:color="auto"/>
            <w:left w:val="none" w:sz="0" w:space="0" w:color="auto"/>
            <w:bottom w:val="none" w:sz="0" w:space="0" w:color="auto"/>
            <w:right w:val="none" w:sz="0" w:space="0" w:color="auto"/>
          </w:divBdr>
        </w:div>
      </w:divsChild>
    </w:div>
    <w:div w:id="507603728">
      <w:bodyDiv w:val="1"/>
      <w:marLeft w:val="0"/>
      <w:marRight w:val="0"/>
      <w:marTop w:val="0"/>
      <w:marBottom w:val="0"/>
      <w:divBdr>
        <w:top w:val="none" w:sz="0" w:space="0" w:color="auto"/>
        <w:left w:val="none" w:sz="0" w:space="0" w:color="auto"/>
        <w:bottom w:val="none" w:sz="0" w:space="0" w:color="auto"/>
        <w:right w:val="none" w:sz="0" w:space="0" w:color="auto"/>
      </w:divBdr>
      <w:divsChild>
        <w:div w:id="1102190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3856206">
      <w:bodyDiv w:val="1"/>
      <w:marLeft w:val="0"/>
      <w:marRight w:val="0"/>
      <w:marTop w:val="0"/>
      <w:marBottom w:val="0"/>
      <w:divBdr>
        <w:top w:val="none" w:sz="0" w:space="0" w:color="auto"/>
        <w:left w:val="none" w:sz="0" w:space="0" w:color="auto"/>
        <w:bottom w:val="none" w:sz="0" w:space="0" w:color="auto"/>
        <w:right w:val="none" w:sz="0" w:space="0" w:color="auto"/>
      </w:divBdr>
      <w:divsChild>
        <w:div w:id="620190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re-montesquieu.ens-lyon.fr/html/montesquieu/accueil.html" TargetMode="External"/><Relationship Id="rId13" Type="http://schemas.openxmlformats.org/officeDocument/2006/relationships/hyperlink" Target="https://books.openedition.org/enseditions/7391?lang=fr"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montesquieu.ens-lyon.fr" TargetMode="External"/><Relationship Id="rId12" Type="http://schemas.openxmlformats.org/officeDocument/2006/relationships/hyperlink" Target="https://montesquieu.huma-num.fr/editions/fictions-poesies/lettres-persanes/lire/lettre/s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ntesquieu.huma-num.fr/editions/fictions-poesies/lettres-persanes/lire/lettre/74?edition=1758"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ontesquieu.huma-num.fr/accuei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ictionnaire-montesquieu.ens-lyon.fr/fr/accueil/" TargetMode="External"/><Relationship Id="rId14" Type="http://schemas.openxmlformats.org/officeDocument/2006/relationships/hyperlink" Target="https://books.openedition.org/enseditions/7382"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563</TotalTime>
  <Pages>3</Pages>
  <Words>1220</Words>
  <Characters>6713</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Volpilhac</dc:creator>
  <cp:keywords/>
  <dc:description/>
  <cp:lastModifiedBy>Catherine Volpilhac</cp:lastModifiedBy>
  <cp:revision>11</cp:revision>
  <cp:lastPrinted>2024-10-02T07:47:00Z</cp:lastPrinted>
  <dcterms:created xsi:type="dcterms:W3CDTF">2024-09-21T21:45:00Z</dcterms:created>
  <dcterms:modified xsi:type="dcterms:W3CDTF">2024-10-02T10:11:00Z</dcterms:modified>
</cp:coreProperties>
</file>